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39" w:rsidRPr="001B0239" w:rsidRDefault="001B0239" w:rsidP="001B0239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 w:rsidRPr="001B0239">
        <w:rPr>
          <w:rFonts w:ascii="Times New Roman CYR" w:eastAsia="Times New Roman" w:hAnsi="Times New Roman CYR" w:cs="Times New Roman CYR"/>
          <w:b/>
          <w:bCs/>
          <w:caps/>
          <w:noProof/>
          <w:color w:val="000000"/>
          <w:spacing w:val="15"/>
          <w:sz w:val="24"/>
          <w:szCs w:val="24"/>
          <w:lang w:eastAsia="bg-BG"/>
        </w:rPr>
        <w:drawing>
          <wp:inline distT="0" distB="0" distL="0" distR="0" wp14:anchorId="3B435D8C" wp14:editId="226892E9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39" w:rsidRPr="001B0239" w:rsidRDefault="001B0239" w:rsidP="001B0239">
      <w:pPr>
        <w:tabs>
          <w:tab w:val="left" w:pos="9900"/>
        </w:tabs>
        <w:autoSpaceDE w:val="0"/>
        <w:autoSpaceDN w:val="0"/>
        <w:adjustRightInd w:val="0"/>
        <w:spacing w:after="2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proofErr w:type="gramStart"/>
      <w:r w:rsidRPr="001B0239"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  <w:t>Република  българия</w:t>
      </w:r>
      <w:proofErr w:type="gramEnd"/>
    </w:p>
    <w:p w:rsidR="001B0239" w:rsidRPr="001B0239" w:rsidRDefault="001B0239" w:rsidP="001B0239">
      <w:pPr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jc w:val="center"/>
        <w:rPr>
          <w:rFonts w:ascii="HebarU" w:eastAsia="Times New Roman" w:hAnsi="HebarU" w:cs="HebarU"/>
          <w:color w:val="000000"/>
          <w:spacing w:val="80"/>
          <w:sz w:val="24"/>
          <w:szCs w:val="24"/>
        </w:rPr>
      </w:pPr>
      <w:r w:rsidRPr="001B023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1B023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en-US"/>
        </w:rPr>
        <w:t>E</w:t>
      </w:r>
      <w:r w:rsidRPr="001B023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Н УПРАВИТЕЛ НА ОБЛАСТ </w:t>
      </w:r>
      <w:r w:rsidRPr="001B0239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</w:rPr>
        <w:t>ВЕЛИКО ТЪРНОВО</w:t>
      </w:r>
    </w:p>
    <w:sdt>
      <w:sdtPr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  <w:alias w:val="изберете ниво на класификация"/>
        <w:tag w:val="изберете ниво на класификация"/>
        <w:id w:val="844371172"/>
        <w:placeholder>
          <w:docPart w:val="14F4F6B6CB7C4A4C92295039BF9B66C0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/>
      <w:sdtContent>
        <w:p w:rsidR="001B0239" w:rsidRPr="001B0239" w:rsidRDefault="001B0239" w:rsidP="001B0239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caps/>
              <w:sz w:val="24"/>
              <w:szCs w:val="24"/>
              <w:lang w:val="en-US"/>
            </w:rPr>
          </w:pPr>
          <w:r w:rsidRPr="001B0239">
            <w:rPr>
              <w:rFonts w:ascii="Times New Roman" w:eastAsia="Times New Roman" w:hAnsi="Times New Roman" w:cs="Times New Roman"/>
              <w:bCs/>
              <w:caps/>
              <w:sz w:val="24"/>
              <w:szCs w:val="24"/>
              <w:lang w:val="en-US"/>
            </w:rPr>
            <w:t>КЛАСИФИКАЦИЯ: [НИВО 1] TLP:GREEN</w:t>
          </w:r>
        </w:p>
      </w:sdtContent>
    </w:sdt>
    <w:p w:rsidR="001B0239" w:rsidRPr="001B0239" w:rsidRDefault="001B0239" w:rsidP="001B0239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en-US"/>
        </w:rPr>
      </w:pPr>
      <w:r w:rsidRPr="001B023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en-US"/>
        </w:rPr>
        <w:t xml:space="preserve"> </w:t>
      </w:r>
    </w:p>
    <w:p w:rsidR="001B0239" w:rsidRPr="001B0239" w:rsidRDefault="001B0239" w:rsidP="001B0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</w:pPr>
      <w:r w:rsidRPr="001B0239">
        <w:rPr>
          <w:rFonts w:ascii="Times New Roman CYR" w:eastAsia="Times New Roman" w:hAnsi="Times New Roman CYR" w:cs="Times New Roman CYR"/>
          <w:b/>
          <w:bCs/>
          <w:noProof/>
          <w:color w:val="000000"/>
          <w:sz w:val="24"/>
          <w:szCs w:val="24"/>
          <w:lang w:eastAsia="bg-BG"/>
        </w:rPr>
        <w:drawing>
          <wp:inline distT="0" distB="0" distL="0" distR="0" wp14:anchorId="20D8C053" wp14:editId="3656F52A">
            <wp:extent cx="286385" cy="26797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239" w:rsidRPr="001B0239" w:rsidRDefault="001B0239" w:rsidP="001B0239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ru-RU"/>
        </w:rPr>
      </w:pPr>
    </w:p>
    <w:p w:rsidR="001B0239" w:rsidRPr="001B0239" w:rsidRDefault="001B0239" w:rsidP="001B02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239" w:rsidRPr="001B0239" w:rsidRDefault="001B0239" w:rsidP="001B0239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1B0239"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1B0239" w:rsidRPr="001B0239" w:rsidRDefault="001B0239" w:rsidP="001B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1B0239" w:rsidRPr="001B0239" w:rsidRDefault="00AE65A4" w:rsidP="001B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№  РД</w:t>
      </w:r>
      <w:proofErr w:type="gramEnd"/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-01-05-17</w:t>
      </w:r>
    </w:p>
    <w:p w:rsidR="001B0239" w:rsidRPr="001B0239" w:rsidRDefault="001B0239" w:rsidP="001B0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</w:p>
    <w:p w:rsidR="001B0239" w:rsidRPr="001B0239" w:rsidRDefault="001B0239" w:rsidP="001B0239">
      <w:pPr>
        <w:tabs>
          <w:tab w:val="left" w:pos="6480"/>
        </w:tabs>
        <w:spacing w:after="0" w:line="48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1B023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Велико Търново,</w:t>
      </w:r>
      <w:r w:rsidR="00AE65A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16.02.</w:t>
      </w:r>
      <w:r w:rsidRPr="001B023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20</w:t>
      </w:r>
      <w:r w:rsidRPr="001B023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  <w:t>2</w:t>
      </w:r>
      <w:r w:rsidRPr="001B023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4</w:t>
      </w:r>
      <w:r w:rsidRPr="001B023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1B0239" w:rsidRPr="001B0239" w:rsidRDefault="001B0239" w:rsidP="001B0239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0239" w:rsidRPr="001B0239" w:rsidRDefault="001B0239" w:rsidP="001B0239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0239" w:rsidRPr="001B0239" w:rsidRDefault="001B0239" w:rsidP="001B0239">
      <w:pPr>
        <w:tabs>
          <w:tab w:val="left" w:pos="6480"/>
        </w:tabs>
        <w:ind w:firstLine="720"/>
        <w:jc w:val="both"/>
        <w:rPr>
          <w:rFonts w:ascii="Times New Roman" w:hAnsi="Times New Roman" w:cs="Times New Roman"/>
          <w:bCs/>
          <w:color w:val="000000"/>
        </w:rPr>
      </w:pPr>
      <w:r w:rsidRPr="001B0239">
        <w:rPr>
          <w:rFonts w:ascii="Times New Roman" w:hAnsi="Times New Roman" w:cs="Times New Roman"/>
          <w:bCs/>
          <w:color w:val="000000"/>
        </w:rPr>
        <w:t>На основание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32, ал.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1 от Закона за администрацията,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28, ал.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2, чл.2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5, ал.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3 и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41з, ал.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1 от Закона за достъп до обществена информация, във връзка с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41а, ал. 1-6,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41б, ал.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2 и ал.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3,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41в,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41е,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41ж,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41з, ал.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2 и ал.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3 и чл.</w:t>
      </w:r>
      <w:r w:rsidR="00AA4560">
        <w:rPr>
          <w:rFonts w:ascii="Times New Roman" w:hAnsi="Times New Roman" w:cs="Times New Roman"/>
          <w:bCs/>
          <w:color w:val="000000"/>
        </w:rPr>
        <w:t xml:space="preserve"> </w:t>
      </w:r>
      <w:r w:rsidRPr="001B0239">
        <w:rPr>
          <w:rFonts w:ascii="Times New Roman" w:hAnsi="Times New Roman" w:cs="Times New Roman"/>
          <w:bCs/>
          <w:color w:val="000000"/>
        </w:rPr>
        <w:t>41и от същия закон и Раздел ІI и Раздел VI от Вътрешни правила за изпълнение на Закона за достъп до обществена информация на Областна администрация Велико Търново, във връзка с организиране на дейността по предоставяне на обществена информация по реда на Закона за достъп до обществена информация, както и поради необходимостта от организиране на дейността по предоставяне на информация от Областна администрация – Велико Търново за повторно използване по реда на Закона за достъп до обществена информация</w:t>
      </w:r>
    </w:p>
    <w:p w:rsidR="001B0239" w:rsidRPr="001B0239" w:rsidRDefault="001B0239" w:rsidP="001B0239">
      <w:pPr>
        <w:rPr>
          <w:bCs/>
          <w:color w:val="000000"/>
        </w:rPr>
      </w:pPr>
      <w:r w:rsidRPr="005B7362">
        <w:rPr>
          <w:bCs/>
          <w:color w:val="000000"/>
        </w:rPr>
        <w:t xml:space="preserve"> </w:t>
      </w:r>
    </w:p>
    <w:p w:rsidR="001B0239" w:rsidRPr="001B0239" w:rsidRDefault="001B0239" w:rsidP="001B0239">
      <w:pPr>
        <w:tabs>
          <w:tab w:val="left" w:pos="6480"/>
        </w:tabs>
        <w:ind w:left="2694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               </w:t>
      </w:r>
      <w:r w:rsidRPr="004043F0">
        <w:rPr>
          <w:rFonts w:ascii="Times New Roman CYR" w:hAnsi="Times New Roman CYR" w:cs="Times New Roman CYR"/>
          <w:b/>
          <w:bCs/>
          <w:color w:val="000000"/>
        </w:rPr>
        <w:t>О П Р Е Д Е Л Я М:</w:t>
      </w:r>
    </w:p>
    <w:p w:rsidR="001B0239" w:rsidRPr="001B0239" w:rsidRDefault="001B0239" w:rsidP="001B023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</w:rPr>
      </w:pPr>
      <w:r w:rsidRPr="0005175F">
        <w:rPr>
          <w:rFonts w:ascii="Times New Roman CYR" w:hAnsi="Times New Roman CYR" w:cs="Times New Roman CYR"/>
          <w:bCs/>
          <w:color w:val="000000"/>
        </w:rPr>
        <w:t>Комисия в състав:</w:t>
      </w:r>
    </w:p>
    <w:p w:rsidR="001B0239" w:rsidRPr="008903C9" w:rsidRDefault="001B0239" w:rsidP="001B023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</w:rPr>
      </w:pPr>
      <w:r w:rsidRPr="008903C9">
        <w:rPr>
          <w:rFonts w:ascii="Times New Roman CYR" w:hAnsi="Times New Roman CYR" w:cs="Times New Roman CYR"/>
          <w:b/>
          <w:bCs/>
          <w:color w:val="000000"/>
        </w:rPr>
        <w:t>Председател:</w:t>
      </w:r>
      <w:r w:rsidRPr="008903C9">
        <w:rPr>
          <w:rFonts w:ascii="Times New Roman CYR" w:hAnsi="Times New Roman CYR" w:cs="Times New Roman CYR"/>
          <w:bCs/>
          <w:color w:val="000000"/>
        </w:rPr>
        <w:t xml:space="preserve"> </w:t>
      </w:r>
    </w:p>
    <w:p w:rsidR="001B0239" w:rsidRDefault="001B0239" w:rsidP="001B0239">
      <w:pPr>
        <w:tabs>
          <w:tab w:val="left" w:pos="2127"/>
        </w:tabs>
        <w:ind w:firstLine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Петя Райкова</w:t>
      </w:r>
      <w:r w:rsidRPr="008903C9">
        <w:rPr>
          <w:rFonts w:ascii="Times New Roman CYR" w:hAnsi="Times New Roman CYR" w:cs="Times New Roman CYR"/>
          <w:bCs/>
          <w:color w:val="000000"/>
        </w:rPr>
        <w:t xml:space="preserve"> – </w:t>
      </w:r>
      <w:r>
        <w:rPr>
          <w:rFonts w:ascii="Times New Roman CYR" w:hAnsi="Times New Roman CYR" w:cs="Times New Roman CYR"/>
          <w:bCs/>
          <w:color w:val="000000"/>
        </w:rPr>
        <w:t>Главен секретар на Областна администрация Велико Търново</w:t>
      </w:r>
    </w:p>
    <w:p w:rsidR="001B0239" w:rsidRPr="008903C9" w:rsidRDefault="001B0239" w:rsidP="001B023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  <w:sz w:val="12"/>
          <w:szCs w:val="12"/>
        </w:rPr>
      </w:pPr>
    </w:p>
    <w:p w:rsidR="001B0239" w:rsidRPr="008903C9" w:rsidRDefault="001B0239" w:rsidP="001B023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8903C9">
        <w:rPr>
          <w:rFonts w:ascii="Times New Roman CYR" w:hAnsi="Times New Roman CYR" w:cs="Times New Roman CYR"/>
          <w:b/>
          <w:bCs/>
          <w:color w:val="000000"/>
        </w:rPr>
        <w:t xml:space="preserve">Редовни членове: </w:t>
      </w:r>
    </w:p>
    <w:p w:rsidR="001B0239" w:rsidRPr="008903C9" w:rsidRDefault="005C4702" w:rsidP="001B0239">
      <w:pPr>
        <w:tabs>
          <w:tab w:val="left" w:pos="2127"/>
        </w:tabs>
        <w:ind w:firstLine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Иван Маринов</w:t>
      </w:r>
      <w:r w:rsidR="001B0239" w:rsidRPr="008903C9">
        <w:rPr>
          <w:rFonts w:ascii="Times New Roman CYR" w:hAnsi="Times New Roman CYR" w:cs="Times New Roman CYR"/>
          <w:bCs/>
          <w:color w:val="000000"/>
        </w:rPr>
        <w:t xml:space="preserve"> – </w:t>
      </w:r>
      <w:r w:rsidR="001B0239">
        <w:rPr>
          <w:rFonts w:ascii="Times New Roman CYR" w:hAnsi="Times New Roman CYR" w:cs="Times New Roman CYR"/>
          <w:bCs/>
          <w:color w:val="000000"/>
        </w:rPr>
        <w:t>Д</w:t>
      </w:r>
      <w:r w:rsidR="001B0239" w:rsidRPr="008903C9">
        <w:rPr>
          <w:rFonts w:ascii="Times New Roman CYR" w:hAnsi="Times New Roman CYR" w:cs="Times New Roman CYR"/>
          <w:bCs/>
          <w:color w:val="000000"/>
        </w:rPr>
        <w:t xml:space="preserve">иректор на </w:t>
      </w:r>
      <w:r w:rsidR="001B0239">
        <w:rPr>
          <w:rFonts w:ascii="Times New Roman CYR" w:hAnsi="Times New Roman CYR" w:cs="Times New Roman CYR"/>
          <w:bCs/>
          <w:color w:val="000000"/>
        </w:rPr>
        <w:t>Д</w:t>
      </w:r>
      <w:r w:rsidR="001B0239" w:rsidRPr="008903C9">
        <w:rPr>
          <w:rFonts w:ascii="Times New Roman CYR" w:hAnsi="Times New Roman CYR" w:cs="Times New Roman CYR"/>
          <w:bCs/>
          <w:color w:val="000000"/>
        </w:rPr>
        <w:t>ирекция А</w:t>
      </w:r>
      <w:r w:rsidR="001B0239">
        <w:rPr>
          <w:rFonts w:ascii="Times New Roman CYR" w:hAnsi="Times New Roman CYR" w:cs="Times New Roman CYR"/>
          <w:bCs/>
          <w:color w:val="000000"/>
        </w:rPr>
        <w:t>КРРДС</w:t>
      </w:r>
    </w:p>
    <w:p w:rsidR="001B0239" w:rsidRPr="00653827" w:rsidRDefault="001B0239" w:rsidP="001B0239">
      <w:pPr>
        <w:tabs>
          <w:tab w:val="left" w:pos="2127"/>
        </w:tabs>
        <w:ind w:firstLine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Милена Павлова</w:t>
      </w:r>
      <w:r w:rsidRPr="00653827">
        <w:rPr>
          <w:rFonts w:ascii="Times New Roman CYR" w:hAnsi="Times New Roman CYR" w:cs="Times New Roman CYR"/>
          <w:bCs/>
          <w:color w:val="000000"/>
        </w:rPr>
        <w:t xml:space="preserve"> - </w:t>
      </w:r>
      <w:r>
        <w:rPr>
          <w:rFonts w:ascii="Times New Roman CYR" w:hAnsi="Times New Roman CYR" w:cs="Times New Roman CYR"/>
          <w:bCs/>
          <w:color w:val="000000"/>
        </w:rPr>
        <w:t>Д</w:t>
      </w:r>
      <w:r w:rsidRPr="008903C9">
        <w:rPr>
          <w:rFonts w:ascii="Times New Roman CYR" w:hAnsi="Times New Roman CYR" w:cs="Times New Roman CYR"/>
          <w:bCs/>
          <w:color w:val="000000"/>
        </w:rPr>
        <w:t xml:space="preserve">иректор на </w:t>
      </w:r>
      <w:r>
        <w:rPr>
          <w:rFonts w:ascii="Times New Roman CYR" w:hAnsi="Times New Roman CYR" w:cs="Times New Roman CYR"/>
          <w:bCs/>
          <w:color w:val="000000"/>
        </w:rPr>
        <w:t>Д</w:t>
      </w:r>
      <w:r w:rsidRPr="008903C9">
        <w:rPr>
          <w:rFonts w:ascii="Times New Roman CYR" w:hAnsi="Times New Roman CYR" w:cs="Times New Roman CYR"/>
          <w:bCs/>
          <w:color w:val="000000"/>
        </w:rPr>
        <w:t>ирекция АПОФУС</w:t>
      </w:r>
    </w:p>
    <w:p w:rsidR="001B0239" w:rsidRPr="008903C9" w:rsidRDefault="001B0239" w:rsidP="001B0239">
      <w:pPr>
        <w:tabs>
          <w:tab w:val="left" w:pos="2127"/>
        </w:tabs>
        <w:ind w:firstLine="709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Искра Бояджиева – главен специалист в Дирекция АКРРДС</w:t>
      </w:r>
    </w:p>
    <w:p w:rsidR="001B0239" w:rsidRPr="00FF6FE7" w:rsidRDefault="00AA0182" w:rsidP="007C61EE">
      <w:pPr>
        <w:tabs>
          <w:tab w:val="left" w:pos="2127"/>
        </w:tabs>
        <w:ind w:firstLine="709"/>
        <w:jc w:val="both"/>
        <w:rPr>
          <w:rFonts w:ascii="Times New Roman CYR" w:hAnsi="Times New Roman CYR" w:cs="Times New Roman CYR"/>
          <w:bCs/>
        </w:rPr>
      </w:pPr>
      <w:r w:rsidRPr="00FF6FE7">
        <w:rPr>
          <w:rFonts w:ascii="Times New Roman CYR" w:hAnsi="Times New Roman CYR" w:cs="Times New Roman CYR"/>
          <w:bCs/>
        </w:rPr>
        <w:t xml:space="preserve">Илиян Илиев </w:t>
      </w:r>
      <w:r w:rsidR="001B0239" w:rsidRPr="00FF6FE7">
        <w:rPr>
          <w:rFonts w:ascii="Times New Roman CYR" w:hAnsi="Times New Roman CYR" w:cs="Times New Roman CYR"/>
          <w:bCs/>
        </w:rPr>
        <w:t xml:space="preserve">- </w:t>
      </w:r>
      <w:r w:rsidR="005C20AC" w:rsidRPr="00FF6FE7">
        <w:rPr>
          <w:rFonts w:ascii="Times New Roman CYR" w:hAnsi="Times New Roman CYR" w:cs="Times New Roman CYR"/>
          <w:bCs/>
        </w:rPr>
        <w:t>главен експерт в Дирекция А</w:t>
      </w:r>
      <w:r w:rsidR="00FF6FE7" w:rsidRPr="00FF6FE7">
        <w:rPr>
          <w:rFonts w:ascii="Times New Roman CYR" w:hAnsi="Times New Roman CYR" w:cs="Times New Roman CYR"/>
          <w:bCs/>
        </w:rPr>
        <w:t>КРРДС</w:t>
      </w:r>
    </w:p>
    <w:p w:rsidR="007C61EE" w:rsidRPr="007C61EE" w:rsidRDefault="007C61EE" w:rsidP="007C61EE">
      <w:pPr>
        <w:tabs>
          <w:tab w:val="left" w:pos="2127"/>
        </w:tabs>
        <w:ind w:firstLine="709"/>
        <w:jc w:val="both"/>
        <w:rPr>
          <w:rFonts w:ascii="Times New Roman CYR" w:hAnsi="Times New Roman CYR" w:cs="Times New Roman CYR"/>
          <w:bCs/>
          <w:color w:val="FF0000"/>
        </w:rPr>
      </w:pPr>
    </w:p>
    <w:p w:rsidR="001B0239" w:rsidRPr="00400025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Pr="008903C9">
        <w:rPr>
          <w:rFonts w:ascii="Times New Roman CYR" w:hAnsi="Times New Roman CYR" w:cs="Times New Roman CYR"/>
          <w:b/>
          <w:bCs/>
          <w:color w:val="000000"/>
        </w:rPr>
        <w:t>Резервни членове:</w:t>
      </w:r>
    </w:p>
    <w:p w:rsidR="001B0239" w:rsidRDefault="001B0239" w:rsidP="00AA0182">
      <w:pPr>
        <w:tabs>
          <w:tab w:val="left" w:pos="1843"/>
        </w:tabs>
        <w:ind w:left="709" w:hanging="709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  <w:t>Цанко Стефанов - главен</w:t>
      </w:r>
      <w:r w:rsidRPr="002B7D8F">
        <w:rPr>
          <w:rFonts w:ascii="Times New Roman CYR" w:hAnsi="Times New Roman CYR" w:cs="Times New Roman CYR"/>
          <w:bCs/>
          <w:color w:val="000000"/>
        </w:rPr>
        <w:t xml:space="preserve"> експерт в </w:t>
      </w:r>
      <w:r>
        <w:rPr>
          <w:rFonts w:ascii="Times New Roman CYR" w:hAnsi="Times New Roman CYR" w:cs="Times New Roman CYR"/>
          <w:bCs/>
          <w:color w:val="000000"/>
        </w:rPr>
        <w:t>Д</w:t>
      </w:r>
      <w:r w:rsidRPr="002B7D8F">
        <w:rPr>
          <w:rFonts w:ascii="Times New Roman CYR" w:hAnsi="Times New Roman CYR" w:cs="Times New Roman CYR"/>
          <w:bCs/>
          <w:color w:val="000000"/>
        </w:rPr>
        <w:t>ирекция АКРРДС</w:t>
      </w:r>
    </w:p>
    <w:p w:rsidR="001B0239" w:rsidRPr="002279A0" w:rsidRDefault="001B0239" w:rsidP="001B0239">
      <w:pPr>
        <w:tabs>
          <w:tab w:val="left" w:pos="1843"/>
        </w:tabs>
        <w:ind w:left="709" w:hanging="709"/>
        <w:jc w:val="both"/>
        <w:rPr>
          <w:rFonts w:ascii="Times New Roman CYR" w:hAnsi="Times New Roman CYR" w:cs="Times New Roman CYR"/>
          <w:bCs/>
          <w:color w:val="000000"/>
          <w:lang w:val="en-US"/>
        </w:rPr>
      </w:pPr>
      <w:r>
        <w:rPr>
          <w:rFonts w:ascii="Times New Roman CYR" w:hAnsi="Times New Roman CYR" w:cs="Times New Roman CYR"/>
          <w:bCs/>
          <w:color w:val="000000"/>
        </w:rPr>
        <w:lastRenderedPageBreak/>
        <w:tab/>
      </w:r>
      <w:r w:rsidR="00D567D4">
        <w:rPr>
          <w:rFonts w:ascii="Times New Roman CYR" w:hAnsi="Times New Roman CYR" w:cs="Times New Roman CYR"/>
          <w:bCs/>
          <w:color w:val="000000"/>
        </w:rPr>
        <w:t>Валентина Стайкова – главен</w:t>
      </w:r>
      <w:r w:rsidR="00FF6FE7">
        <w:rPr>
          <w:rFonts w:ascii="Times New Roman CYR" w:hAnsi="Times New Roman CYR" w:cs="Times New Roman CYR"/>
          <w:bCs/>
          <w:color w:val="000000"/>
        </w:rPr>
        <w:t xml:space="preserve"> експерт в Дирекция АПОФУС</w:t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</w:p>
    <w:p w:rsidR="001B0239" w:rsidRPr="00FE538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Pr="00FE5381">
        <w:rPr>
          <w:rFonts w:ascii="Times New Roman CYR" w:hAnsi="Times New Roman CYR" w:cs="Times New Roman CYR"/>
          <w:bCs/>
          <w:color w:val="000000"/>
        </w:rPr>
        <w:t>I.</w:t>
      </w:r>
      <w:r>
        <w:rPr>
          <w:rFonts w:ascii="Times New Roman CYR" w:hAnsi="Times New Roman CYR" w:cs="Times New Roman CYR"/>
          <w:bCs/>
          <w:color w:val="000000"/>
        </w:rPr>
        <w:t xml:space="preserve"> </w:t>
      </w:r>
      <w:r w:rsidRPr="00FE5381">
        <w:rPr>
          <w:rFonts w:ascii="Times New Roman CYR" w:hAnsi="Times New Roman CYR" w:cs="Times New Roman CYR"/>
          <w:bCs/>
          <w:color w:val="000000"/>
        </w:rPr>
        <w:t>Комисията следва да разглежда постъпилите в Областна администрация – Велико Търново заявления за достъп до обществена информация, за което да съставя протокол.</w:t>
      </w:r>
    </w:p>
    <w:p w:rsidR="001B0239" w:rsidRPr="00FE538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 w:rsidRPr="00FE5381">
        <w:rPr>
          <w:rFonts w:ascii="Times New Roman CYR" w:hAnsi="Times New Roman CYR" w:cs="Times New Roman CYR"/>
          <w:bCs/>
          <w:color w:val="000000"/>
        </w:rPr>
        <w:tab/>
        <w:t>Разглеждането на заявленията за предоставяне на достъп до обществена информация следв</w:t>
      </w:r>
      <w:r>
        <w:rPr>
          <w:rFonts w:ascii="Times New Roman CYR" w:hAnsi="Times New Roman CYR" w:cs="Times New Roman CYR"/>
          <w:bCs/>
          <w:color w:val="000000"/>
        </w:rPr>
        <w:t>а да се извършва по реда на чл.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 w:rsidRPr="00FE5381">
        <w:rPr>
          <w:rFonts w:ascii="Times New Roman CYR" w:hAnsi="Times New Roman CYR" w:cs="Times New Roman CYR"/>
          <w:bCs/>
          <w:color w:val="000000"/>
        </w:rPr>
        <w:t>28 от ЗДОИ, при съблюдаване на изи</w:t>
      </w:r>
      <w:r>
        <w:rPr>
          <w:rFonts w:ascii="Times New Roman CYR" w:hAnsi="Times New Roman CYR" w:cs="Times New Roman CYR"/>
          <w:bCs/>
          <w:color w:val="000000"/>
        </w:rPr>
        <w:t>скванията на чл.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Cs/>
          <w:color w:val="000000"/>
        </w:rPr>
        <w:t>25, ал.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Cs/>
          <w:color w:val="000000"/>
        </w:rPr>
        <w:t>2, чл.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Cs/>
          <w:color w:val="000000"/>
        </w:rPr>
        <w:t>32 и чл.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 w:rsidRPr="00FE5381">
        <w:rPr>
          <w:rFonts w:ascii="Times New Roman CYR" w:hAnsi="Times New Roman CYR" w:cs="Times New Roman CYR"/>
          <w:bCs/>
          <w:color w:val="000000"/>
        </w:rPr>
        <w:t>33 от същия закон.</w:t>
      </w:r>
    </w:p>
    <w:p w:rsidR="001B0239" w:rsidRPr="00FE538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 w:rsidRPr="00FE5381">
        <w:rPr>
          <w:rFonts w:ascii="Times New Roman CYR" w:hAnsi="Times New Roman CYR" w:cs="Times New Roman CYR"/>
          <w:bCs/>
          <w:color w:val="000000"/>
        </w:rPr>
        <w:tab/>
        <w:t>Комисията взема решенията си за предоставяне или съответно за отказ от предоставяне на обществена информация с мнозинство от 2/3 от членовете си.</w:t>
      </w:r>
    </w:p>
    <w:p w:rsidR="001B0239" w:rsidRPr="00FE538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 w:rsidRPr="00FE5381">
        <w:rPr>
          <w:rFonts w:ascii="Times New Roman CYR" w:hAnsi="Times New Roman CYR" w:cs="Times New Roman CYR"/>
          <w:bCs/>
          <w:color w:val="000000"/>
        </w:rPr>
        <w:tab/>
        <w:t>След взимане на решение, същото да се обявява на заявител</w:t>
      </w:r>
      <w:r>
        <w:rPr>
          <w:rFonts w:ascii="Times New Roman CYR" w:hAnsi="Times New Roman CYR" w:cs="Times New Roman CYR"/>
          <w:bCs/>
          <w:color w:val="000000"/>
        </w:rPr>
        <w:t>я, съгласно разпоредбите на чл.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Cs/>
          <w:color w:val="000000"/>
        </w:rPr>
        <w:t>34, ал.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Cs/>
          <w:color w:val="000000"/>
        </w:rPr>
        <w:t>3 и чл.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 w:rsidRPr="00FE5381">
        <w:rPr>
          <w:rFonts w:ascii="Times New Roman CYR" w:hAnsi="Times New Roman CYR" w:cs="Times New Roman CYR"/>
          <w:bCs/>
          <w:color w:val="000000"/>
        </w:rPr>
        <w:t>39 от ЗДОИ.</w:t>
      </w:r>
    </w:p>
    <w:p w:rsidR="001B0239" w:rsidRPr="00FE538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 w:rsidRPr="00FE5381">
        <w:rPr>
          <w:rFonts w:ascii="Times New Roman CYR" w:hAnsi="Times New Roman CYR" w:cs="Times New Roman CYR"/>
          <w:bCs/>
          <w:color w:val="000000"/>
        </w:rPr>
        <w:tab/>
        <w:t xml:space="preserve"> При вземане на решение за предоставяне на достъп до обществена информация, на заявителя да се изпраща копие от документите във вида, в който са поискани, или съответно да му се предостави достъп </w:t>
      </w:r>
      <w:r>
        <w:rPr>
          <w:rFonts w:ascii="Times New Roman CYR" w:hAnsi="Times New Roman CYR" w:cs="Times New Roman CYR"/>
          <w:bCs/>
          <w:color w:val="000000"/>
        </w:rPr>
        <w:t>до исканата информация в Центъра</w:t>
      </w:r>
      <w:r w:rsidRPr="00FE5381">
        <w:rPr>
          <w:rFonts w:ascii="Times New Roman CYR" w:hAnsi="Times New Roman CYR" w:cs="Times New Roman CYR"/>
          <w:bCs/>
          <w:color w:val="000000"/>
        </w:rPr>
        <w:t xml:space="preserve"> за</w:t>
      </w:r>
      <w:r>
        <w:rPr>
          <w:rFonts w:ascii="Times New Roman CYR" w:hAnsi="Times New Roman CYR" w:cs="Times New Roman CYR"/>
          <w:bCs/>
          <w:color w:val="000000"/>
        </w:rPr>
        <w:t xml:space="preserve"> административно обслужване на О</w:t>
      </w:r>
      <w:r w:rsidRPr="00FE5381">
        <w:rPr>
          <w:rFonts w:ascii="Times New Roman CYR" w:hAnsi="Times New Roman CYR" w:cs="Times New Roman CYR"/>
          <w:bCs/>
          <w:color w:val="000000"/>
        </w:rPr>
        <w:t xml:space="preserve">бластна администрация. </w:t>
      </w:r>
    </w:p>
    <w:p w:rsidR="001B0239" w:rsidRPr="00FE538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 w:rsidRPr="00FE5381">
        <w:rPr>
          <w:rFonts w:ascii="Times New Roman CYR" w:hAnsi="Times New Roman CYR" w:cs="Times New Roman CYR"/>
          <w:bCs/>
          <w:color w:val="000000"/>
        </w:rPr>
        <w:tab/>
        <w:t>При отсъствие на редовен член на комисията, същият да се замества от резервен  член, посочен от Председателя.</w:t>
      </w:r>
    </w:p>
    <w:p w:rsidR="001B0239" w:rsidRPr="00FE538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 w:rsidRPr="00FE5381">
        <w:rPr>
          <w:rFonts w:ascii="Times New Roman CYR" w:hAnsi="Times New Roman CYR" w:cs="Times New Roman CYR"/>
          <w:bCs/>
          <w:color w:val="000000"/>
        </w:rPr>
        <w:tab/>
        <w:t>Комисията, при необходимост, има право да привлича в своите заседания и външни лица /служители на администрацията или външни специалисти/, които участват в заседанията без право на глас. Привличането се извършва съгласно протоколно решение на комисията.</w:t>
      </w:r>
    </w:p>
    <w:p w:rsidR="001B0239" w:rsidRPr="00FE538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  <w:t>Служителите в Центъра за административно обслужване</w:t>
      </w:r>
      <w:r w:rsidRPr="00FE5381">
        <w:rPr>
          <w:rFonts w:ascii="Times New Roman CYR" w:hAnsi="Times New Roman CYR" w:cs="Times New Roman CYR"/>
          <w:bCs/>
          <w:color w:val="000000"/>
        </w:rPr>
        <w:t xml:space="preserve"> на Областна администрация, следва да регистрират Заявленията за достъп до обществена информация в създаден в автоматизираната информационна система МИКСИ - „Регистър за достъп до обществена информация”, като използват за целта  сигнатура ОА 04- …./пореден номер/…, при спазване на реда, описан в утвърдена технологична карта за услугата. </w:t>
      </w:r>
    </w:p>
    <w:p w:rsidR="001B0239" w:rsidRPr="00FE538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Cs/>
          <w:color w:val="000000"/>
        </w:rPr>
        <w:t>Определям Центъра</w:t>
      </w:r>
      <w:r w:rsidRPr="00FE5381">
        <w:rPr>
          <w:rFonts w:ascii="Times New Roman CYR" w:hAnsi="Times New Roman CYR" w:cs="Times New Roman CYR"/>
          <w:bCs/>
          <w:color w:val="000000"/>
        </w:rPr>
        <w:t xml:space="preserve"> за административно обслужване на Областна администрация-Велико Търново за място, в което да се осъществява и преглед на информация-оригинал или копие, или чрез публичен общодостъпен регистър по чл.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 w:rsidRPr="00FE5381">
        <w:rPr>
          <w:rFonts w:ascii="Times New Roman CYR" w:hAnsi="Times New Roman CYR" w:cs="Times New Roman CYR"/>
          <w:bCs/>
          <w:color w:val="000000"/>
        </w:rPr>
        <w:t>26, ал.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 w:rsidRPr="00FE5381">
        <w:rPr>
          <w:rFonts w:ascii="Times New Roman CYR" w:hAnsi="Times New Roman CYR" w:cs="Times New Roman CYR"/>
          <w:bCs/>
          <w:color w:val="000000"/>
        </w:rPr>
        <w:t>1, т.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 w:rsidRPr="00FE5381">
        <w:rPr>
          <w:rFonts w:ascii="Times New Roman CYR" w:hAnsi="Times New Roman CYR" w:cs="Times New Roman CYR"/>
          <w:bCs/>
          <w:color w:val="000000"/>
        </w:rPr>
        <w:t xml:space="preserve">1 от Закона за достъп до обществена информация. </w:t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</w:p>
    <w:p w:rsidR="001B0239" w:rsidRPr="003F77D7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Pr="00FE5381">
        <w:rPr>
          <w:rFonts w:ascii="Times New Roman CYR" w:hAnsi="Times New Roman CYR" w:cs="Times New Roman CYR"/>
          <w:bCs/>
          <w:color w:val="000000"/>
        </w:rPr>
        <w:t>II.</w:t>
      </w:r>
      <w:r>
        <w:rPr>
          <w:rFonts w:ascii="Times New Roman CYR" w:hAnsi="Times New Roman CYR" w:cs="Times New Roman CYR"/>
          <w:bCs/>
          <w:color w:val="000000"/>
        </w:rPr>
        <w:t xml:space="preserve"> </w:t>
      </w:r>
      <w:r w:rsidRPr="00FE5381">
        <w:rPr>
          <w:rFonts w:ascii="Times New Roman CYR" w:hAnsi="Times New Roman CYR" w:cs="Times New Roman CYR"/>
          <w:bCs/>
          <w:color w:val="000000"/>
        </w:rPr>
        <w:t xml:space="preserve">Комисията следва да разглежда </w:t>
      </w:r>
      <w:r>
        <w:rPr>
          <w:rFonts w:ascii="Times New Roman CYR" w:hAnsi="Times New Roman CYR" w:cs="Times New Roman CYR"/>
          <w:bCs/>
          <w:color w:val="000000"/>
        </w:rPr>
        <w:t xml:space="preserve">и </w:t>
      </w:r>
      <w:r w:rsidRPr="00FE5381">
        <w:rPr>
          <w:rFonts w:ascii="Times New Roman CYR" w:hAnsi="Times New Roman CYR" w:cs="Times New Roman CYR"/>
          <w:bCs/>
          <w:color w:val="000000"/>
        </w:rPr>
        <w:t>постъпилите в Областна администрация – Велико Търново писмени искания за повторно използване на информация, за което да съставя протокол.</w:t>
      </w:r>
      <w:r w:rsidRPr="00FD3E88">
        <w:rPr>
          <w:rFonts w:ascii="Times New Roman CYR" w:hAnsi="Times New Roman CYR" w:cs="Times New Roman CYR"/>
          <w:bCs/>
          <w:color w:val="FF0000"/>
        </w:rPr>
        <w:t xml:space="preserve"> </w:t>
      </w:r>
      <w:r w:rsidRPr="003F77D7">
        <w:rPr>
          <w:rFonts w:ascii="Times New Roman CYR" w:hAnsi="Times New Roman CYR" w:cs="Times New Roman CYR"/>
          <w:bCs/>
        </w:rPr>
        <w:t>Искането се счита за писмено и в случаите, когато е направено по електронен път на адреса на електронната поща на администрацията или на портала за отворени данни.</w:t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FF0000"/>
        </w:rPr>
      </w:pPr>
      <w:r w:rsidRPr="0005175F">
        <w:rPr>
          <w:rFonts w:ascii="Times New Roman CYR" w:hAnsi="Times New Roman CYR" w:cs="Times New Roman CYR"/>
          <w:bCs/>
          <w:color w:val="000000"/>
        </w:rPr>
        <w:tab/>
        <w:t xml:space="preserve">Разглеждането на </w:t>
      </w:r>
      <w:r w:rsidRPr="00F37F77">
        <w:rPr>
          <w:rFonts w:ascii="Times New Roman CYR" w:hAnsi="Times New Roman CYR" w:cs="Times New Roman CYR"/>
          <w:bCs/>
          <w:color w:val="000000"/>
        </w:rPr>
        <w:t xml:space="preserve">писмени искания за повторно използване на информация </w:t>
      </w:r>
      <w:r w:rsidRPr="0005175F">
        <w:rPr>
          <w:rFonts w:ascii="Times New Roman CYR" w:hAnsi="Times New Roman CYR" w:cs="Times New Roman CYR"/>
          <w:bCs/>
          <w:color w:val="000000"/>
        </w:rPr>
        <w:t xml:space="preserve">да се извършва по реда </w:t>
      </w:r>
      <w:r>
        <w:rPr>
          <w:rFonts w:ascii="Times New Roman CYR" w:hAnsi="Times New Roman CYR" w:cs="Times New Roman CYR"/>
          <w:bCs/>
          <w:color w:val="000000"/>
        </w:rPr>
        <w:t xml:space="preserve">на </w:t>
      </w:r>
      <w:r w:rsidRPr="00CB439C">
        <w:rPr>
          <w:rFonts w:ascii="Times New Roman CYR" w:hAnsi="Times New Roman CYR" w:cs="Times New Roman CYR"/>
          <w:bCs/>
          <w:color w:val="000000"/>
        </w:rPr>
        <w:t>Раздел V</w:t>
      </w:r>
      <w:r>
        <w:rPr>
          <w:rFonts w:ascii="Times New Roman CYR" w:hAnsi="Times New Roman CYR" w:cs="Times New Roman CYR"/>
          <w:bCs/>
          <w:color w:val="000000"/>
        </w:rPr>
        <w:t xml:space="preserve"> от </w:t>
      </w:r>
      <w:r w:rsidRPr="003F77D7">
        <w:rPr>
          <w:rFonts w:ascii="Times New Roman CYR" w:hAnsi="Times New Roman CYR" w:cs="Times New Roman CYR"/>
          <w:bCs/>
          <w:color w:val="000000"/>
        </w:rPr>
        <w:t>Вътрешни правила за изпълнение на Закона за достъп до обществена информация от Областна администрация Велико Търново</w:t>
      </w:r>
      <w:r>
        <w:rPr>
          <w:rFonts w:ascii="Times New Roman CYR" w:hAnsi="Times New Roman CYR" w:cs="Times New Roman CYR"/>
          <w:bCs/>
          <w:color w:val="000000"/>
        </w:rPr>
        <w:t>.</w:t>
      </w:r>
    </w:p>
    <w:p w:rsidR="001B0239" w:rsidRPr="00CA169D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color w:val="FF0000"/>
        </w:rPr>
        <w:tab/>
      </w:r>
      <w:r w:rsidRPr="008D43E5">
        <w:rPr>
          <w:rFonts w:ascii="Times New Roman CYR" w:hAnsi="Times New Roman CYR" w:cs="Times New Roman CYR"/>
          <w:bCs/>
        </w:rPr>
        <w:t xml:space="preserve">Исканията за повторно използване на информация да се разглеждат </w:t>
      </w:r>
      <w:r w:rsidRPr="00D93509">
        <w:rPr>
          <w:rFonts w:ascii="Times New Roman CYR" w:hAnsi="Times New Roman CYR" w:cs="Times New Roman CYR"/>
          <w:bCs/>
        </w:rPr>
        <w:t xml:space="preserve">от комисията, </w:t>
      </w:r>
      <w:r w:rsidRPr="008D43E5">
        <w:rPr>
          <w:rFonts w:ascii="Times New Roman CYR" w:hAnsi="Times New Roman CYR" w:cs="Times New Roman CYR"/>
          <w:bCs/>
        </w:rPr>
        <w:t>не по-късно от 14-дневен срок от регистрирането им. Срокът може да бъде удължен с още 14 дни в случаите, в които искането за повторно използване на информация се характеризира със сложност и изисква повече време за предоставянето.</w:t>
      </w:r>
      <w:r>
        <w:rPr>
          <w:rFonts w:ascii="Times New Roman CYR" w:hAnsi="Times New Roman CYR" w:cs="Times New Roman CYR"/>
          <w:bCs/>
          <w:color w:val="FF0000"/>
        </w:rPr>
        <w:t xml:space="preserve"> </w:t>
      </w:r>
      <w:r w:rsidRPr="00CA169D">
        <w:rPr>
          <w:rFonts w:ascii="Times New Roman CYR" w:hAnsi="Times New Roman CYR" w:cs="Times New Roman CYR"/>
          <w:bCs/>
        </w:rPr>
        <w:t>В тези случаи на заявителя се изпраща съобщение за необходимото време за предоставяне на информацията</w:t>
      </w:r>
      <w:r>
        <w:rPr>
          <w:rFonts w:ascii="Times New Roman CYR" w:hAnsi="Times New Roman CYR" w:cs="Times New Roman CYR"/>
          <w:bCs/>
        </w:rPr>
        <w:t>,</w:t>
      </w:r>
      <w:r w:rsidRPr="00CA169D">
        <w:rPr>
          <w:rFonts w:ascii="Times New Roman CYR" w:hAnsi="Times New Roman CYR" w:cs="Times New Roman CYR"/>
          <w:bCs/>
        </w:rPr>
        <w:t xml:space="preserve"> в срок до 14 дни от постъпване на искането.</w:t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 w:rsidRPr="0005175F">
        <w:rPr>
          <w:rFonts w:ascii="Times New Roman CYR" w:hAnsi="Times New Roman CYR" w:cs="Times New Roman CYR"/>
          <w:bCs/>
          <w:color w:val="000000"/>
        </w:rPr>
        <w:tab/>
      </w:r>
      <w:r w:rsidRPr="00D93509">
        <w:rPr>
          <w:rFonts w:ascii="Times New Roman CYR" w:hAnsi="Times New Roman CYR" w:cs="Times New Roman CYR"/>
          <w:bCs/>
          <w:color w:val="000000"/>
        </w:rPr>
        <w:t xml:space="preserve">За разглеждане на исканията </w:t>
      </w:r>
      <w:r w:rsidRPr="001742F5">
        <w:rPr>
          <w:rFonts w:ascii="Times New Roman CYR" w:hAnsi="Times New Roman CYR" w:cs="Times New Roman CYR"/>
          <w:bCs/>
          <w:color w:val="000000"/>
        </w:rPr>
        <w:t>за по</w:t>
      </w:r>
      <w:r>
        <w:rPr>
          <w:rFonts w:ascii="Times New Roman CYR" w:hAnsi="Times New Roman CYR" w:cs="Times New Roman CYR"/>
          <w:bCs/>
          <w:color w:val="000000"/>
        </w:rPr>
        <w:t>вторно използване на информация</w:t>
      </w:r>
      <w:r w:rsidRPr="00D93509">
        <w:rPr>
          <w:rFonts w:ascii="Times New Roman CYR" w:hAnsi="Times New Roman CYR" w:cs="Times New Roman CYR"/>
          <w:bCs/>
          <w:color w:val="000000"/>
        </w:rPr>
        <w:t xml:space="preserve">, комисията съставя протокол. </w:t>
      </w:r>
      <w:r w:rsidRPr="0049030B">
        <w:rPr>
          <w:rFonts w:ascii="Times New Roman CYR" w:hAnsi="Times New Roman CYR" w:cs="Times New Roman CYR"/>
          <w:bCs/>
          <w:color w:val="000000"/>
        </w:rPr>
        <w:t>Комисията взема решения за предоставяне или съответно отказ за предоставяне на информация за повторно използване с мнозинство 2/3 от членовете си.</w:t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lastRenderedPageBreak/>
        <w:tab/>
      </w:r>
      <w:r w:rsidRPr="00D4424A">
        <w:rPr>
          <w:rFonts w:ascii="Times New Roman CYR" w:hAnsi="Times New Roman CYR" w:cs="Times New Roman CYR"/>
          <w:bCs/>
          <w:color w:val="000000"/>
        </w:rPr>
        <w:t>Комисията</w:t>
      </w:r>
      <w:r>
        <w:rPr>
          <w:rFonts w:ascii="Times New Roman CYR" w:hAnsi="Times New Roman CYR" w:cs="Times New Roman CYR"/>
          <w:bCs/>
          <w:color w:val="000000"/>
        </w:rPr>
        <w:t xml:space="preserve">, </w:t>
      </w:r>
      <w:r w:rsidRPr="00D4424A">
        <w:rPr>
          <w:rFonts w:ascii="Times New Roman CYR" w:hAnsi="Times New Roman CYR" w:cs="Times New Roman CYR"/>
          <w:bCs/>
          <w:color w:val="000000"/>
        </w:rPr>
        <w:t>при необходимост</w:t>
      </w:r>
      <w:r>
        <w:rPr>
          <w:rFonts w:ascii="Times New Roman CYR" w:hAnsi="Times New Roman CYR" w:cs="Times New Roman CYR"/>
          <w:bCs/>
          <w:color w:val="000000"/>
        </w:rPr>
        <w:t>,</w:t>
      </w:r>
      <w:r w:rsidRPr="00D4424A">
        <w:rPr>
          <w:rFonts w:ascii="Times New Roman CYR" w:hAnsi="Times New Roman CYR" w:cs="Times New Roman CYR"/>
          <w:bCs/>
          <w:color w:val="000000"/>
        </w:rPr>
        <w:t xml:space="preserve"> има право да привлича в своите заседания и външни лица /служители на администрацията или външни специалисти/</w:t>
      </w:r>
      <w:r>
        <w:rPr>
          <w:rFonts w:ascii="Times New Roman CYR" w:hAnsi="Times New Roman CYR" w:cs="Times New Roman CYR"/>
          <w:bCs/>
          <w:color w:val="000000"/>
        </w:rPr>
        <w:t>, които участват в заседанията без право на глас</w:t>
      </w:r>
      <w:r w:rsidRPr="00D4424A">
        <w:rPr>
          <w:rFonts w:ascii="Times New Roman CYR" w:hAnsi="Times New Roman CYR" w:cs="Times New Roman CYR"/>
          <w:bCs/>
          <w:color w:val="000000"/>
        </w:rPr>
        <w:t>. Привл</w:t>
      </w:r>
      <w:r>
        <w:rPr>
          <w:rFonts w:ascii="Times New Roman CYR" w:hAnsi="Times New Roman CYR" w:cs="Times New Roman CYR"/>
          <w:bCs/>
          <w:color w:val="000000"/>
        </w:rPr>
        <w:t>ичането се извършва съгласно протоколно решение на комисията</w:t>
      </w:r>
      <w:r w:rsidRPr="00D4424A">
        <w:rPr>
          <w:rFonts w:ascii="Times New Roman CYR" w:hAnsi="Times New Roman CYR" w:cs="Times New Roman CYR"/>
          <w:bCs/>
          <w:color w:val="000000"/>
        </w:rPr>
        <w:t>.</w:t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Pr="0005175F">
        <w:rPr>
          <w:rFonts w:ascii="Times New Roman CYR" w:hAnsi="Times New Roman CYR" w:cs="Times New Roman CYR"/>
          <w:bCs/>
          <w:color w:val="000000"/>
        </w:rPr>
        <w:t>При отсъствие на редовен член на комисията,</w:t>
      </w:r>
      <w:r>
        <w:rPr>
          <w:rFonts w:ascii="Times New Roman CYR" w:hAnsi="Times New Roman CYR" w:cs="Times New Roman CYR"/>
          <w:bCs/>
          <w:color w:val="000000"/>
        </w:rPr>
        <w:t xml:space="preserve"> същият се замества от резервен  член, посочен от Председателя.</w:t>
      </w:r>
    </w:p>
    <w:p w:rsidR="001B0239" w:rsidRPr="0005175F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Pr="0049030B">
        <w:rPr>
          <w:rFonts w:ascii="Times New Roman CYR" w:hAnsi="Times New Roman CYR" w:cs="Times New Roman CYR"/>
          <w:bCs/>
          <w:color w:val="000000"/>
        </w:rPr>
        <w:t>Решението на комисията за предоставяне или съответно отказ за предоставяне на информация за повторно използване се предл</w:t>
      </w:r>
      <w:r>
        <w:rPr>
          <w:rFonts w:ascii="Times New Roman CYR" w:hAnsi="Times New Roman CYR" w:cs="Times New Roman CYR"/>
          <w:bCs/>
          <w:color w:val="000000"/>
        </w:rPr>
        <w:t xml:space="preserve">ага </w:t>
      </w:r>
      <w:r w:rsidRPr="0049030B">
        <w:rPr>
          <w:rFonts w:ascii="Times New Roman CYR" w:hAnsi="Times New Roman CYR" w:cs="Times New Roman CYR"/>
          <w:bCs/>
          <w:color w:val="000000"/>
        </w:rPr>
        <w:t>за утвърждаване на Областен управител.</w:t>
      </w:r>
    </w:p>
    <w:p w:rsidR="001B0239" w:rsidRPr="003B3571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color w:val="000000"/>
        </w:rPr>
        <w:tab/>
        <w:t>В срока по чл.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Cs/>
          <w:color w:val="000000"/>
        </w:rPr>
        <w:t>41з, ал. 1, съответно ал.</w:t>
      </w:r>
      <w:r w:rsidR="00006036">
        <w:rPr>
          <w:rFonts w:ascii="Times New Roman CYR" w:hAnsi="Times New Roman CYR" w:cs="Times New Roman CYR"/>
          <w:bCs/>
          <w:color w:val="000000"/>
        </w:rPr>
        <w:t xml:space="preserve"> </w:t>
      </w:r>
      <w:r w:rsidRPr="00044FD1">
        <w:rPr>
          <w:rFonts w:ascii="Times New Roman CYR" w:hAnsi="Times New Roman CYR" w:cs="Times New Roman CYR"/>
          <w:bCs/>
          <w:color w:val="000000"/>
        </w:rPr>
        <w:t xml:space="preserve">3 от </w:t>
      </w:r>
      <w:r>
        <w:rPr>
          <w:rFonts w:ascii="Times New Roman CYR" w:hAnsi="Times New Roman CYR" w:cs="Times New Roman CYR"/>
          <w:bCs/>
          <w:color w:val="000000"/>
        </w:rPr>
        <w:t>Закона за достъп до обществена информация</w:t>
      </w:r>
      <w:r w:rsidRPr="00044FD1">
        <w:rPr>
          <w:rFonts w:ascii="Times New Roman CYR" w:hAnsi="Times New Roman CYR" w:cs="Times New Roman CYR"/>
          <w:bCs/>
          <w:color w:val="000000"/>
        </w:rPr>
        <w:t>, заявителя</w:t>
      </w:r>
      <w:r>
        <w:rPr>
          <w:rFonts w:ascii="Times New Roman CYR" w:hAnsi="Times New Roman CYR" w:cs="Times New Roman CYR"/>
          <w:bCs/>
          <w:color w:val="000000"/>
        </w:rPr>
        <w:t>т</w:t>
      </w:r>
      <w:r w:rsidRPr="00044FD1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Cs/>
          <w:color w:val="000000"/>
        </w:rPr>
        <w:t xml:space="preserve">следва да бъде уведомен за </w:t>
      </w:r>
      <w:r w:rsidRPr="00044FD1">
        <w:rPr>
          <w:rFonts w:ascii="Times New Roman CYR" w:hAnsi="Times New Roman CYR" w:cs="Times New Roman CYR"/>
          <w:bCs/>
          <w:color w:val="000000"/>
        </w:rPr>
        <w:t>решение</w:t>
      </w:r>
      <w:r>
        <w:rPr>
          <w:rFonts w:ascii="Times New Roman CYR" w:hAnsi="Times New Roman CYR" w:cs="Times New Roman CYR"/>
          <w:bCs/>
          <w:color w:val="000000"/>
        </w:rPr>
        <w:t>то на</w:t>
      </w:r>
      <w:r w:rsidRPr="00044FD1">
        <w:rPr>
          <w:rFonts w:ascii="Times New Roman CYR" w:hAnsi="Times New Roman CYR" w:cs="Times New Roman CYR"/>
          <w:bCs/>
          <w:color w:val="000000"/>
        </w:rPr>
        <w:t xml:space="preserve"> Област</w:t>
      </w:r>
      <w:r>
        <w:rPr>
          <w:rFonts w:ascii="Times New Roman CYR" w:hAnsi="Times New Roman CYR" w:cs="Times New Roman CYR"/>
          <w:bCs/>
          <w:color w:val="000000"/>
        </w:rPr>
        <w:t>е</w:t>
      </w:r>
      <w:r w:rsidRPr="00044FD1">
        <w:rPr>
          <w:rFonts w:ascii="Times New Roman CYR" w:hAnsi="Times New Roman CYR" w:cs="Times New Roman CYR"/>
          <w:bCs/>
          <w:color w:val="000000"/>
        </w:rPr>
        <w:t>н управител относно предоставяне или съответно отказ за предоставяне на инф</w:t>
      </w:r>
      <w:r>
        <w:rPr>
          <w:rFonts w:ascii="Times New Roman CYR" w:hAnsi="Times New Roman CYR" w:cs="Times New Roman CYR"/>
          <w:bCs/>
          <w:color w:val="000000"/>
        </w:rPr>
        <w:t xml:space="preserve">ормация за повторно използване. </w:t>
      </w:r>
      <w:r w:rsidRPr="00044FD1">
        <w:rPr>
          <w:rFonts w:ascii="Times New Roman CYR" w:hAnsi="Times New Roman CYR" w:cs="Times New Roman CYR"/>
          <w:bCs/>
          <w:color w:val="000000"/>
        </w:rPr>
        <w:t>Решението се връчва на заявителя срещу подпис или по пощата с обратна разписка или се изпраща по електронен път, когато заявителят е поискал информацията да му бъде предоставена по електронен път и е посочил адрес на електронна поща</w:t>
      </w:r>
      <w:r>
        <w:rPr>
          <w:rFonts w:ascii="Times New Roman CYR" w:hAnsi="Times New Roman CYR" w:cs="Times New Roman CYR"/>
          <w:bCs/>
          <w:color w:val="000000"/>
        </w:rPr>
        <w:t xml:space="preserve"> /в</w:t>
      </w:r>
      <w:r w:rsidRPr="003B3571">
        <w:rPr>
          <w:rFonts w:ascii="Times New Roman CYR" w:hAnsi="Times New Roman CYR" w:cs="Times New Roman CYR"/>
          <w:bCs/>
        </w:rPr>
        <w:t xml:space="preserve"> т</w:t>
      </w:r>
      <w:r>
        <w:rPr>
          <w:rFonts w:ascii="Times New Roman CYR" w:hAnsi="Times New Roman CYR" w:cs="Times New Roman CYR"/>
          <w:bCs/>
        </w:rPr>
        <w:t>о</w:t>
      </w:r>
      <w:r w:rsidRPr="003B3571">
        <w:rPr>
          <w:rFonts w:ascii="Times New Roman CYR" w:hAnsi="Times New Roman CYR" w:cs="Times New Roman CYR"/>
          <w:bCs/>
        </w:rPr>
        <w:t>зи случа</w:t>
      </w:r>
      <w:r>
        <w:rPr>
          <w:rFonts w:ascii="Times New Roman CYR" w:hAnsi="Times New Roman CYR" w:cs="Times New Roman CYR"/>
          <w:bCs/>
        </w:rPr>
        <w:t>й</w:t>
      </w:r>
      <w:r w:rsidRPr="003B3571">
        <w:rPr>
          <w:rFonts w:ascii="Times New Roman CYR" w:hAnsi="Times New Roman CYR" w:cs="Times New Roman CYR"/>
          <w:bCs/>
        </w:rPr>
        <w:t xml:space="preserve"> потвърждаване на получаването на отговора не се изисква</w:t>
      </w:r>
      <w:r>
        <w:rPr>
          <w:rFonts w:ascii="Times New Roman CYR" w:hAnsi="Times New Roman CYR" w:cs="Times New Roman CYR"/>
          <w:bCs/>
        </w:rPr>
        <w:t>/</w:t>
      </w:r>
      <w:r w:rsidRPr="003B3571">
        <w:rPr>
          <w:rFonts w:ascii="Times New Roman CYR" w:hAnsi="Times New Roman CYR" w:cs="Times New Roman CYR"/>
          <w:bCs/>
        </w:rPr>
        <w:t>.</w:t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Pr="00044FD1">
        <w:rPr>
          <w:rFonts w:ascii="Times New Roman CYR" w:hAnsi="Times New Roman CYR" w:cs="Times New Roman CYR"/>
          <w:bCs/>
          <w:color w:val="000000"/>
        </w:rPr>
        <w:t>Информация</w:t>
      </w:r>
      <w:r>
        <w:rPr>
          <w:rFonts w:ascii="Times New Roman CYR" w:hAnsi="Times New Roman CYR" w:cs="Times New Roman CYR"/>
          <w:bCs/>
          <w:color w:val="000000"/>
        </w:rPr>
        <w:t>та да</w:t>
      </w:r>
      <w:r w:rsidRPr="00044FD1">
        <w:rPr>
          <w:rFonts w:ascii="Times New Roman CYR" w:hAnsi="Times New Roman CYR" w:cs="Times New Roman CYR"/>
          <w:bCs/>
          <w:color w:val="000000"/>
        </w:rPr>
        <w:t xml:space="preserve"> се предоставя за повторно използване безплатно или след заплащане на такса, определена с тарифа, приета от Министерски съвет, която такса не може да надхвърля материалните разходи по възпроизвеждането и предоставянето на информацията.</w:t>
      </w:r>
      <w:r w:rsidRPr="00044FD1">
        <w:rPr>
          <w:rFonts w:ascii="Times New Roman CYR" w:hAnsi="Times New Roman CYR" w:cs="Times New Roman CYR"/>
          <w:bCs/>
          <w:color w:val="000000"/>
        </w:rPr>
        <w:tab/>
      </w:r>
      <w:r w:rsidRPr="00044FD1">
        <w:rPr>
          <w:rFonts w:ascii="Times New Roman CYR" w:hAnsi="Times New Roman CYR" w:cs="Times New Roman CYR"/>
          <w:bCs/>
          <w:color w:val="000000"/>
        </w:rPr>
        <w:tab/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Pr="00044FD1">
        <w:rPr>
          <w:rFonts w:ascii="Times New Roman CYR" w:hAnsi="Times New Roman CYR" w:cs="Times New Roman CYR"/>
          <w:bCs/>
          <w:color w:val="000000"/>
        </w:rPr>
        <w:t xml:space="preserve">При взимане на решение за отказ за предоставяне на информация за повторно използване задължително </w:t>
      </w:r>
      <w:r>
        <w:rPr>
          <w:rFonts w:ascii="Times New Roman CYR" w:hAnsi="Times New Roman CYR" w:cs="Times New Roman CYR"/>
          <w:bCs/>
          <w:color w:val="000000"/>
        </w:rPr>
        <w:t xml:space="preserve">да </w:t>
      </w:r>
      <w:r w:rsidRPr="00044FD1">
        <w:rPr>
          <w:rFonts w:ascii="Times New Roman CYR" w:hAnsi="Times New Roman CYR" w:cs="Times New Roman CYR"/>
          <w:bCs/>
          <w:color w:val="000000"/>
        </w:rPr>
        <w:t>се посочват правното и фактическо основание за отказ</w:t>
      </w:r>
      <w:r>
        <w:rPr>
          <w:rFonts w:ascii="Times New Roman CYR" w:hAnsi="Times New Roman CYR" w:cs="Times New Roman CYR"/>
          <w:bCs/>
          <w:color w:val="000000"/>
        </w:rPr>
        <w:t>а</w:t>
      </w:r>
      <w:r w:rsidRPr="00044FD1">
        <w:rPr>
          <w:rFonts w:ascii="Times New Roman CYR" w:hAnsi="Times New Roman CYR" w:cs="Times New Roman CYR"/>
          <w:bCs/>
          <w:color w:val="000000"/>
        </w:rPr>
        <w:t xml:space="preserve">, датата на приемане на решението и редът за неговото обжалване и то задължително </w:t>
      </w:r>
      <w:r>
        <w:rPr>
          <w:rFonts w:ascii="Times New Roman CYR" w:hAnsi="Times New Roman CYR" w:cs="Times New Roman CYR"/>
          <w:bCs/>
          <w:color w:val="000000"/>
        </w:rPr>
        <w:t xml:space="preserve">да </w:t>
      </w:r>
      <w:r w:rsidRPr="00044FD1">
        <w:rPr>
          <w:rFonts w:ascii="Times New Roman CYR" w:hAnsi="Times New Roman CYR" w:cs="Times New Roman CYR"/>
          <w:bCs/>
          <w:color w:val="000000"/>
        </w:rPr>
        <w:t xml:space="preserve">се връчва на заявителя срещу подпис или </w:t>
      </w:r>
      <w:r>
        <w:rPr>
          <w:rFonts w:ascii="Times New Roman CYR" w:hAnsi="Times New Roman CYR" w:cs="Times New Roman CYR"/>
          <w:bCs/>
          <w:color w:val="000000"/>
        </w:rPr>
        <w:t xml:space="preserve">да </w:t>
      </w:r>
      <w:r w:rsidRPr="00044FD1">
        <w:rPr>
          <w:rFonts w:ascii="Times New Roman CYR" w:hAnsi="Times New Roman CYR" w:cs="Times New Roman CYR"/>
          <w:bCs/>
          <w:color w:val="000000"/>
        </w:rPr>
        <w:t>се изпраща по пощата с обратна разписка.</w:t>
      </w:r>
    </w:p>
    <w:p w:rsidR="001B0239" w:rsidRPr="000E6C94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 w:rsidRPr="0005175F">
        <w:rPr>
          <w:rFonts w:ascii="Times New Roman CYR" w:hAnsi="Times New Roman CYR" w:cs="Times New Roman CYR"/>
          <w:bCs/>
          <w:color w:val="000000"/>
        </w:rPr>
        <w:tab/>
      </w:r>
      <w:r>
        <w:rPr>
          <w:rFonts w:ascii="Times New Roman CYR" w:hAnsi="Times New Roman CYR" w:cs="Times New Roman CYR"/>
          <w:bCs/>
          <w:color w:val="000000"/>
        </w:rPr>
        <w:tab/>
      </w:r>
    </w:p>
    <w:p w:rsidR="001B0239" w:rsidRPr="00D2122E" w:rsidRDefault="001B0239" w:rsidP="001B0239">
      <w:pPr>
        <w:tabs>
          <w:tab w:val="left" w:pos="709"/>
          <w:tab w:val="left" w:pos="2694"/>
          <w:tab w:val="left" w:pos="3402"/>
        </w:tabs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Pr="00D2122E">
        <w:rPr>
          <w:rFonts w:ascii="Times New Roman CYR" w:hAnsi="Times New Roman CYR" w:cs="Times New Roman CYR"/>
          <w:bCs/>
        </w:rPr>
        <w:t xml:space="preserve">Настоящата заповед </w:t>
      </w:r>
      <w:r w:rsidRPr="00D2122E">
        <w:rPr>
          <w:rFonts w:ascii="Times New Roman CYR" w:hAnsi="Times New Roman CYR" w:cs="Times New Roman CYR"/>
          <w:b/>
          <w:bCs/>
        </w:rPr>
        <w:t xml:space="preserve">отменя </w:t>
      </w:r>
      <w:r>
        <w:rPr>
          <w:rFonts w:ascii="Times New Roman CYR" w:hAnsi="Times New Roman CYR" w:cs="Times New Roman CYR"/>
          <w:b/>
          <w:bCs/>
        </w:rPr>
        <w:t>Заповед №РД 01-05-21/21.02.2023</w:t>
      </w:r>
      <w:r w:rsidRPr="00D2122E">
        <w:rPr>
          <w:rFonts w:ascii="Times New Roman CYR" w:hAnsi="Times New Roman CYR" w:cs="Times New Roman CYR"/>
          <w:b/>
          <w:bCs/>
        </w:rPr>
        <w:t>г.</w:t>
      </w:r>
      <w:r w:rsidRPr="00D2122E">
        <w:rPr>
          <w:rFonts w:ascii="Times New Roman CYR" w:hAnsi="Times New Roman CYR" w:cs="Times New Roman CYR"/>
          <w:bCs/>
        </w:rPr>
        <w:t xml:space="preserve"> на Областен управител на област Велико Търново.</w:t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Pr="00B11B5E">
        <w:rPr>
          <w:rFonts w:ascii="Times New Roman CYR" w:hAnsi="Times New Roman CYR" w:cs="Times New Roman CYR"/>
          <w:bCs/>
          <w:color w:val="000000"/>
        </w:rPr>
        <w:t>Контрол по изпълнението на заповедта възлагам на Главния секретар на Областна администрация-Велико Търново.</w:t>
      </w:r>
    </w:p>
    <w:p w:rsidR="001B0239" w:rsidRDefault="001B0239" w:rsidP="001B0239">
      <w:pPr>
        <w:tabs>
          <w:tab w:val="left" w:pos="709"/>
        </w:tabs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  <w:t>Настоящата заповед да се сведе до знанието на членовете на комисията за сведение и изпълнение и на отговорния служител за публикуване на интернет страницата на Областна администрация</w:t>
      </w:r>
      <w:r w:rsidRPr="00162764">
        <w:rPr>
          <w:rFonts w:ascii="Times New Roman CYR" w:hAnsi="Times New Roman CYR" w:cs="Times New Roman CYR"/>
          <w:bCs/>
          <w:color w:val="000000"/>
        </w:rPr>
        <w:t>-Велико Търнов</w:t>
      </w:r>
      <w:r>
        <w:rPr>
          <w:rFonts w:ascii="Times New Roman CYR" w:hAnsi="Times New Roman CYR" w:cs="Times New Roman CYR"/>
          <w:bCs/>
          <w:color w:val="000000"/>
        </w:rPr>
        <w:t>о в раздели Комисия по ЗДОИ и Повторно използване на информация.</w:t>
      </w:r>
    </w:p>
    <w:p w:rsidR="001B0239" w:rsidRPr="001B0239" w:rsidRDefault="001B0239" w:rsidP="001B0239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0239" w:rsidRPr="001B0239" w:rsidRDefault="001B0239" w:rsidP="001B0239">
      <w:pPr>
        <w:tabs>
          <w:tab w:val="left" w:pos="6480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0239" w:rsidRPr="001B0239" w:rsidRDefault="001B0239" w:rsidP="001B0239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B0239" w:rsidRPr="001B0239" w:rsidRDefault="001B0239" w:rsidP="001B0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1B0239" w:rsidRPr="001B0239" w:rsidRDefault="001B0239" w:rsidP="001B02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1B023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ИВАЙЛО ЗДРАВКОВ</w:t>
      </w:r>
      <w:r w:rsidR="00AE65A4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 xml:space="preserve"> /П/</w:t>
      </w:r>
      <w:bookmarkStart w:id="0" w:name="_GoBack"/>
      <w:bookmarkEnd w:id="0"/>
    </w:p>
    <w:p w:rsidR="001B0239" w:rsidRPr="001B0239" w:rsidRDefault="001B0239" w:rsidP="001B02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</w:pPr>
      <w:r w:rsidRPr="001B0239"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  <w:t xml:space="preserve">Областен управител на </w:t>
      </w:r>
    </w:p>
    <w:p w:rsidR="001B0239" w:rsidRPr="001B0239" w:rsidRDefault="001B0239" w:rsidP="001B02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</w:pPr>
      <w:r w:rsidRPr="001B0239">
        <w:rPr>
          <w:rFonts w:ascii="Times New Roman CYR" w:eastAsia="Times New Roman" w:hAnsi="Times New Roman CYR" w:cs="Times New Roman CYR"/>
          <w:bCs/>
          <w:i/>
          <w:color w:val="000000"/>
          <w:sz w:val="28"/>
          <w:szCs w:val="28"/>
        </w:rPr>
        <w:t>област Велико Търново</w:t>
      </w:r>
    </w:p>
    <w:p w:rsidR="001B0239" w:rsidRPr="001B0239" w:rsidRDefault="001B0239" w:rsidP="001B02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8"/>
          <w:szCs w:val="8"/>
        </w:rPr>
      </w:pPr>
    </w:p>
    <w:p w:rsidR="002576D2" w:rsidRDefault="002576D2" w:rsidP="001B02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</w:p>
    <w:p w:rsidR="002576D2" w:rsidRDefault="002576D2" w:rsidP="001B02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</w:p>
    <w:p w:rsidR="002576D2" w:rsidRDefault="002576D2" w:rsidP="001B02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</w:p>
    <w:p w:rsidR="002576D2" w:rsidRDefault="002576D2" w:rsidP="001B02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</w:p>
    <w:p w:rsidR="002576D2" w:rsidRDefault="002576D2" w:rsidP="001B0239">
      <w:pPr>
        <w:tabs>
          <w:tab w:val="left" w:pos="6480"/>
        </w:tabs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0"/>
          <w:szCs w:val="20"/>
        </w:rPr>
      </w:pPr>
    </w:p>
    <w:p w:rsidR="001B0239" w:rsidRPr="001B0239" w:rsidRDefault="001B0239" w:rsidP="001B0239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60746" w:rsidRDefault="00F60746"/>
    <w:sectPr w:rsidR="00F60746" w:rsidSect="00EE418C">
      <w:footerReference w:type="default" r:id="rId8"/>
      <w:pgSz w:w="11907" w:h="16840" w:code="9"/>
      <w:pgMar w:top="567" w:right="927" w:bottom="567" w:left="1134" w:header="567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4C" w:rsidRDefault="004B7C4C">
      <w:pPr>
        <w:spacing w:after="0" w:line="240" w:lineRule="auto"/>
      </w:pPr>
      <w:r>
        <w:separator/>
      </w:r>
    </w:p>
  </w:endnote>
  <w:endnote w:type="continuationSeparator" w:id="0">
    <w:p w:rsidR="004B7C4C" w:rsidRDefault="004B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8B" w:rsidRDefault="00006036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proofErr w:type="spellStart"/>
    <w:r w:rsidRPr="00BB4444">
      <w:rPr>
        <w:i/>
        <w:sz w:val="20"/>
        <w:szCs w:val="20"/>
      </w:rPr>
      <w:t>п.к</w:t>
    </w:r>
    <w:proofErr w:type="spellEnd"/>
    <w:r w:rsidRPr="00BB4444">
      <w:rPr>
        <w:i/>
        <w:sz w:val="20"/>
        <w:szCs w:val="20"/>
      </w:rPr>
      <w:t>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Pr="00F314A8">
        <w:rPr>
          <w:rStyle w:val="a3"/>
          <w:i/>
          <w:sz w:val="20"/>
          <w:szCs w:val="20"/>
        </w:rPr>
        <w:t>https</w:t>
      </w:r>
      <w:r w:rsidRPr="00F314A8">
        <w:rPr>
          <w:rStyle w:val="a3"/>
          <w:i/>
          <w:sz w:val="20"/>
          <w:szCs w:val="20"/>
          <w:lang w:val="ru-RU"/>
        </w:rPr>
        <w:t>://</w:t>
      </w:r>
      <w:r w:rsidRPr="00F314A8">
        <w:rPr>
          <w:rStyle w:val="a3"/>
          <w:i/>
          <w:sz w:val="20"/>
          <w:szCs w:val="20"/>
        </w:rPr>
        <w:t>www</w:t>
      </w:r>
      <w:r w:rsidRPr="00F314A8">
        <w:rPr>
          <w:rStyle w:val="a3"/>
          <w:i/>
          <w:sz w:val="20"/>
          <w:szCs w:val="20"/>
          <w:lang w:val="ru-RU"/>
        </w:rPr>
        <w:t>.</w:t>
      </w:r>
      <w:r w:rsidRPr="00F314A8">
        <w:rPr>
          <w:rStyle w:val="a3"/>
          <w:i/>
          <w:sz w:val="20"/>
          <w:szCs w:val="20"/>
        </w:rPr>
        <w:t>vt</w:t>
      </w:r>
      <w:r w:rsidRPr="00F314A8">
        <w:rPr>
          <w:rStyle w:val="a3"/>
          <w:i/>
          <w:sz w:val="20"/>
          <w:szCs w:val="20"/>
          <w:lang w:val="ru-RU"/>
        </w:rPr>
        <w:t>.</w:t>
      </w:r>
      <w:r w:rsidRPr="00F314A8">
        <w:rPr>
          <w:rStyle w:val="a3"/>
          <w:i/>
          <w:sz w:val="20"/>
          <w:szCs w:val="20"/>
        </w:rPr>
        <w:t>government</w:t>
      </w:r>
      <w:r w:rsidRPr="00F314A8">
        <w:rPr>
          <w:rStyle w:val="a3"/>
          <w:i/>
          <w:sz w:val="20"/>
          <w:szCs w:val="20"/>
          <w:lang w:val="ru-RU"/>
        </w:rPr>
        <w:t>.</w:t>
      </w:r>
      <w:proofErr w:type="spellStart"/>
      <w:r w:rsidRPr="00F314A8">
        <w:rPr>
          <w:rStyle w:val="a3"/>
          <w:i/>
          <w:sz w:val="20"/>
          <w:szCs w:val="20"/>
        </w:rPr>
        <w:t>bg</w:t>
      </w:r>
      <w:proofErr w:type="spellEnd"/>
    </w:hyperlink>
  </w:p>
  <w:p w:rsidR="00EE418C" w:rsidRPr="00BB4444" w:rsidRDefault="00006036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eastAsia="bg-BG"/>
      </w:rPr>
      <w:drawing>
        <wp:inline distT="0" distB="0" distL="0" distR="0" wp14:anchorId="5E7EC8A2" wp14:editId="40E3D4FB">
          <wp:extent cx="548640" cy="469265"/>
          <wp:effectExtent l="0" t="0" r="3810" b="6985"/>
          <wp:docPr id="3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eastAsia="bg-BG"/>
      </w:rPr>
      <w:drawing>
        <wp:inline distT="0" distB="0" distL="0" distR="0" wp14:anchorId="7F6E6AC2" wp14:editId="4A02A2EA">
          <wp:extent cx="384175" cy="377825"/>
          <wp:effectExtent l="0" t="0" r="0" b="3175"/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eastAsia="bg-BG"/>
      </w:rPr>
      <w:drawing>
        <wp:inline distT="0" distB="0" distL="0" distR="0" wp14:anchorId="6230D062" wp14:editId="05B73697">
          <wp:extent cx="396240" cy="384175"/>
          <wp:effectExtent l="0" t="0" r="3810" b="0"/>
          <wp:docPr id="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4C" w:rsidRDefault="004B7C4C">
      <w:pPr>
        <w:spacing w:after="0" w:line="240" w:lineRule="auto"/>
      </w:pPr>
      <w:r>
        <w:separator/>
      </w:r>
    </w:p>
  </w:footnote>
  <w:footnote w:type="continuationSeparator" w:id="0">
    <w:p w:rsidR="004B7C4C" w:rsidRDefault="004B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39"/>
    <w:rsid w:val="00006036"/>
    <w:rsid w:val="001B0239"/>
    <w:rsid w:val="002279A0"/>
    <w:rsid w:val="002576D2"/>
    <w:rsid w:val="004B7C4C"/>
    <w:rsid w:val="005C20AC"/>
    <w:rsid w:val="005C4702"/>
    <w:rsid w:val="00760451"/>
    <w:rsid w:val="007C61EE"/>
    <w:rsid w:val="00AA0182"/>
    <w:rsid w:val="00AA4560"/>
    <w:rsid w:val="00AE65A4"/>
    <w:rsid w:val="00D567D4"/>
    <w:rsid w:val="00F60746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DAF0"/>
  <w15:chartTrackingRefBased/>
  <w15:docId w15:val="{64243049-B329-498C-BC31-491B0E7F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F4F6B6CB7C4A4C92295039BF9B66C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D67C47D-CC2D-4DBE-BC69-533282237FA0}"/>
      </w:docPartPr>
      <w:docPartBody>
        <w:p w:rsidR="00AC11BB" w:rsidRDefault="00AA5777" w:rsidP="00AA5777">
          <w:pPr>
            <w:pStyle w:val="14F4F6B6CB7C4A4C92295039BF9B66C0"/>
          </w:pPr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77"/>
    <w:rsid w:val="002E3AD3"/>
    <w:rsid w:val="00AA5777"/>
    <w:rsid w:val="00AC11BB"/>
    <w:rsid w:val="00D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777"/>
    <w:rPr>
      <w:color w:val="808080"/>
    </w:rPr>
  </w:style>
  <w:style w:type="paragraph" w:customStyle="1" w:styleId="14F4F6B6CB7C4A4C92295039BF9B66C0">
    <w:name w:val="14F4F6B6CB7C4A4C92295039BF9B66C0"/>
    <w:rsid w:val="00AA5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Boyadjieva</dc:creator>
  <cp:keywords/>
  <dc:description/>
  <cp:lastModifiedBy>Iskra Boyadjieva</cp:lastModifiedBy>
  <cp:revision>13</cp:revision>
  <dcterms:created xsi:type="dcterms:W3CDTF">2024-02-13T12:07:00Z</dcterms:created>
  <dcterms:modified xsi:type="dcterms:W3CDTF">2024-02-19T10:59:00Z</dcterms:modified>
</cp:coreProperties>
</file>