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3D" w:rsidRPr="000548B0" w:rsidRDefault="007B1C3D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30271" w:rsidRPr="000548B0" w:rsidRDefault="00B30271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48B0">
        <w:rPr>
          <w:rFonts w:ascii="Times New Roman" w:eastAsia="Times New Roman" w:hAnsi="Times New Roman" w:cs="Times New Roman"/>
          <w:b/>
          <w:sz w:val="32"/>
          <w:szCs w:val="32"/>
        </w:rPr>
        <w:t>Утвърдил:</w:t>
      </w:r>
      <w:r w:rsidR="00737924" w:rsidRPr="000548B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75354" w:rsidRPr="000548B0">
        <w:rPr>
          <w:rFonts w:ascii="Times New Roman" w:eastAsia="Times New Roman" w:hAnsi="Times New Roman" w:cs="Times New Roman"/>
          <w:b/>
          <w:sz w:val="32"/>
          <w:szCs w:val="32"/>
        </w:rPr>
        <w:t>/п/</w:t>
      </w:r>
    </w:p>
    <w:p w:rsidR="00B30271" w:rsidRPr="000548B0" w:rsidRDefault="00127C7B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8B0">
        <w:rPr>
          <w:rFonts w:ascii="Times New Roman" w:eastAsia="Times New Roman" w:hAnsi="Times New Roman" w:cs="Times New Roman"/>
          <w:b/>
          <w:sz w:val="28"/>
          <w:szCs w:val="28"/>
        </w:rPr>
        <w:t>Проф</w:t>
      </w:r>
      <w:r w:rsidR="00B30271" w:rsidRPr="000548B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548B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1750D4" w:rsidRPr="000548B0">
        <w:rPr>
          <w:rFonts w:ascii="Times New Roman" w:eastAsia="Times New Roman" w:hAnsi="Times New Roman" w:cs="Times New Roman"/>
          <w:b/>
          <w:sz w:val="28"/>
          <w:szCs w:val="28"/>
        </w:rPr>
        <w:t>-р</w:t>
      </w:r>
      <w:r w:rsidRPr="000548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50D4" w:rsidRPr="000548B0">
        <w:rPr>
          <w:rFonts w:ascii="Times New Roman" w:eastAsia="Times New Roman" w:hAnsi="Times New Roman" w:cs="Times New Roman"/>
          <w:b/>
          <w:sz w:val="28"/>
          <w:szCs w:val="28"/>
        </w:rPr>
        <w:t>ЛЮБОМИРА ПОПОВА</w:t>
      </w:r>
    </w:p>
    <w:p w:rsidR="00B30271" w:rsidRPr="000548B0" w:rsidRDefault="00B30271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48B0">
        <w:rPr>
          <w:rFonts w:ascii="Times New Roman" w:eastAsia="Times New Roman" w:hAnsi="Times New Roman" w:cs="Times New Roman"/>
          <w:i/>
          <w:sz w:val="28"/>
          <w:szCs w:val="28"/>
        </w:rPr>
        <w:t>Областен управител</w:t>
      </w:r>
    </w:p>
    <w:p w:rsidR="00B30271" w:rsidRPr="000548B0" w:rsidRDefault="00B30271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48B0">
        <w:rPr>
          <w:rFonts w:ascii="Times New Roman" w:eastAsia="Times New Roman" w:hAnsi="Times New Roman" w:cs="Times New Roman"/>
          <w:i/>
          <w:sz w:val="28"/>
          <w:szCs w:val="28"/>
        </w:rPr>
        <w:t>на област Велико Търново</w:t>
      </w:r>
    </w:p>
    <w:p w:rsidR="00E75354" w:rsidRPr="000548B0" w:rsidRDefault="00E75354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5354" w:rsidRPr="000548B0" w:rsidRDefault="001750D4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8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73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5354" w:rsidRPr="000548B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773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75354" w:rsidRPr="000548B0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0548B0">
        <w:rPr>
          <w:rFonts w:ascii="Times New Roman" w:eastAsia="Times New Roman" w:hAnsi="Times New Roman" w:cs="Times New Roman"/>
          <w:sz w:val="28"/>
          <w:szCs w:val="28"/>
        </w:rPr>
        <w:t>8</w:t>
      </w:r>
      <w:r w:rsidR="00E75354" w:rsidRPr="000548B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30271" w:rsidRPr="000548B0" w:rsidRDefault="00B30271" w:rsidP="00B30271">
      <w:pPr>
        <w:spacing w:after="0" w:line="240" w:lineRule="auto"/>
        <w:ind w:left="2880" w:right="-18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</w:p>
    <w:p w:rsidR="00B30271" w:rsidRPr="000548B0" w:rsidRDefault="00B30271" w:rsidP="00B30271">
      <w:pPr>
        <w:spacing w:after="0" w:line="240" w:lineRule="auto"/>
        <w:ind w:right="-1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271" w:rsidRPr="000548B0" w:rsidRDefault="00B30271" w:rsidP="00B30271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Цели на администрацията за 201</w:t>
      </w:r>
      <w:r w:rsidR="001750D4" w:rsidRPr="000548B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:rsidR="007B1C3D" w:rsidRPr="000548B0" w:rsidRDefault="007B1C3D" w:rsidP="00B30271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271" w:rsidRPr="000548B0" w:rsidRDefault="00B30271" w:rsidP="00B30271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Наименование на администрацията: Областна администрация-Велико Търново</w:t>
      </w:r>
    </w:p>
    <w:p w:rsidR="00B30271" w:rsidRPr="000548B0" w:rsidRDefault="00B30271" w:rsidP="00B30271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842"/>
        <w:gridCol w:w="2409"/>
        <w:gridCol w:w="1402"/>
        <w:gridCol w:w="2045"/>
        <w:gridCol w:w="1968"/>
        <w:gridCol w:w="1957"/>
      </w:tblGrid>
      <w:tr w:rsidR="00F91457" w:rsidRPr="000548B0" w:rsidTr="003D614F">
        <w:trPr>
          <w:trHeight w:val="736"/>
        </w:trPr>
        <w:tc>
          <w:tcPr>
            <w:tcW w:w="2127" w:type="dxa"/>
            <w:vMerge w:val="restart"/>
          </w:tcPr>
          <w:p w:rsidR="00B30271" w:rsidRPr="000548B0" w:rsidRDefault="00B30271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Цели за 201</w:t>
            </w:r>
            <w:r w:rsidR="001750D4" w:rsidRPr="000548B0">
              <w:rPr>
                <w:rFonts w:ascii="Times New Roman" w:hAnsi="Times New Roman" w:cs="Times New Roman"/>
                <w:b/>
              </w:rPr>
              <w:t>8</w:t>
            </w:r>
            <w:r w:rsidRPr="00054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843" w:type="dxa"/>
            <w:vMerge w:val="restart"/>
          </w:tcPr>
          <w:p w:rsidR="00B30271" w:rsidRPr="000548B0" w:rsidRDefault="00B30271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Стратегически цели</w:t>
            </w:r>
          </w:p>
        </w:tc>
        <w:tc>
          <w:tcPr>
            <w:tcW w:w="1842" w:type="dxa"/>
            <w:vMerge w:val="restart"/>
          </w:tcPr>
          <w:p w:rsidR="00B30271" w:rsidRPr="000548B0" w:rsidRDefault="00B30271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Стратегически документ</w:t>
            </w:r>
          </w:p>
        </w:tc>
        <w:tc>
          <w:tcPr>
            <w:tcW w:w="2409" w:type="dxa"/>
            <w:vMerge w:val="restart"/>
          </w:tcPr>
          <w:p w:rsidR="00B30271" w:rsidRPr="000548B0" w:rsidRDefault="00B30271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Дейности</w:t>
            </w:r>
          </w:p>
        </w:tc>
        <w:tc>
          <w:tcPr>
            <w:tcW w:w="1402" w:type="dxa"/>
            <w:vMerge w:val="restart"/>
          </w:tcPr>
          <w:p w:rsidR="00B30271" w:rsidRPr="000548B0" w:rsidRDefault="00B30271" w:rsidP="003D61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045" w:type="dxa"/>
            <w:vMerge w:val="restart"/>
          </w:tcPr>
          <w:p w:rsidR="00B30271" w:rsidRPr="000548B0" w:rsidRDefault="00B30271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Очакван резултат</w:t>
            </w:r>
          </w:p>
        </w:tc>
        <w:tc>
          <w:tcPr>
            <w:tcW w:w="3925" w:type="dxa"/>
            <w:gridSpan w:val="2"/>
          </w:tcPr>
          <w:p w:rsidR="00B30271" w:rsidRPr="000548B0" w:rsidRDefault="00B30271" w:rsidP="000548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b/>
              </w:rPr>
              <w:t>Индикатор за изпълнение</w:t>
            </w:r>
          </w:p>
        </w:tc>
      </w:tr>
      <w:tr w:rsidR="005A40A5" w:rsidRPr="000548B0" w:rsidTr="003D614F">
        <w:trPr>
          <w:trHeight w:val="444"/>
        </w:trPr>
        <w:tc>
          <w:tcPr>
            <w:tcW w:w="2127" w:type="dxa"/>
            <w:vMerge/>
          </w:tcPr>
          <w:p w:rsidR="00B30271" w:rsidRPr="000548B0" w:rsidRDefault="00B30271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B30271" w:rsidRPr="000548B0" w:rsidRDefault="00B30271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B30271" w:rsidRPr="000548B0" w:rsidRDefault="00B30271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B30271" w:rsidRPr="000548B0" w:rsidRDefault="00B30271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:rsidR="00B30271" w:rsidRPr="000548B0" w:rsidRDefault="00B30271" w:rsidP="003D6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</w:tcPr>
          <w:p w:rsidR="00B30271" w:rsidRPr="000548B0" w:rsidRDefault="00B30271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</w:tcPr>
          <w:p w:rsidR="00B30271" w:rsidRPr="000548B0" w:rsidRDefault="00B30271" w:rsidP="003D61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Индикатор за текущо състояние</w:t>
            </w:r>
          </w:p>
        </w:tc>
        <w:tc>
          <w:tcPr>
            <w:tcW w:w="1957" w:type="dxa"/>
          </w:tcPr>
          <w:p w:rsidR="00B30271" w:rsidRPr="000548B0" w:rsidRDefault="00B30271" w:rsidP="003D61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Индикатор за целево състояние</w:t>
            </w:r>
          </w:p>
        </w:tc>
      </w:tr>
      <w:tr w:rsidR="000548B0" w:rsidRPr="000548B0" w:rsidTr="003D614F">
        <w:tc>
          <w:tcPr>
            <w:tcW w:w="2127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1. Намаляване на административната тежест, подобряване на административното обслужване и развитие на е-управление</w:t>
            </w:r>
          </w:p>
        </w:tc>
        <w:tc>
          <w:tcPr>
            <w:tcW w:w="1843" w:type="dxa"/>
            <w:vMerge w:val="restart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Намаляване на административната тежест пред бизнеса и гражданите.</w:t>
            </w:r>
          </w:p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 xml:space="preserve">Развитие на електронно управление </w:t>
            </w:r>
          </w:p>
        </w:tc>
        <w:tc>
          <w:tcPr>
            <w:tcW w:w="1842" w:type="dxa"/>
            <w:vMerge w:val="restart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Програма за управление на правителството на  РБ за периода 2017-2021</w:t>
            </w:r>
          </w:p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Стратегия за развитие на електронното управление 2014-2020</w:t>
            </w:r>
          </w:p>
        </w:tc>
        <w:tc>
          <w:tcPr>
            <w:tcW w:w="2409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bCs/>
              </w:rPr>
              <w:t>1. Обмен на документи посредством ЕСОЕД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  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Ускорен обмен на документи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Реален участник в ЕСОЕД.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Активен участник в средата.</w:t>
            </w:r>
          </w:p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Брой обменени е- документи посредством ЕСОЕД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2. Прозрачност в дейността на администрацията и улесняване на достъпа до обществена информация </w:t>
            </w:r>
          </w:p>
        </w:tc>
        <w:tc>
          <w:tcPr>
            <w:tcW w:w="1402" w:type="dxa"/>
            <w:vMerge w:val="restart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3D614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   АПОФУС</w:t>
            </w:r>
          </w:p>
          <w:p w:rsidR="000548B0" w:rsidRPr="000548B0" w:rsidRDefault="000548B0" w:rsidP="003D614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  <w:vMerge w:val="restart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Публичност и прозрачност на дейността и улесняване на достъпа до обществена информация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Интернет страница на ОУ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Актуализирана информация на интернет страницата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 xml:space="preserve">Публикувана информация относно поддържаните от администрацията </w:t>
            </w:r>
            <w:r w:rsidRPr="000548B0">
              <w:rPr>
                <w:rFonts w:ascii="Times New Roman" w:hAnsi="Times New Roman" w:cs="Times New Roman"/>
              </w:rPr>
              <w:lastRenderedPageBreak/>
              <w:t>регистри и бази данни на Портала за отворени данни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lastRenderedPageBreak/>
              <w:t>Актуализирана информация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 xml:space="preserve">относно поддържаните от администрацията </w:t>
            </w:r>
            <w:r w:rsidRPr="000548B0">
              <w:rPr>
                <w:rFonts w:ascii="Times New Roman" w:hAnsi="Times New Roman" w:cs="Times New Roman"/>
              </w:rPr>
              <w:lastRenderedPageBreak/>
              <w:t>регистри и бази данни на Портала за отворени данни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Списък на категориите информация, подлежаща на публикуване в интернет за сферата на дейност на ОА и форматите, в които е достъпна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Актуализиран списък на категориите информация, подлежаща на публикуване в интернет за дейността на ОА и форматите, в които е достъпна.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3. Разработка на нова  версия на интернет страница на областен управител </w:t>
            </w:r>
          </w:p>
        </w:tc>
        <w:tc>
          <w:tcPr>
            <w:tcW w:w="1402" w:type="dxa"/>
            <w:vMerge w:val="restart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 Х.2018 г.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  <w:vMerge w:val="restart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Повишаване информираността на гражданите и бизнеса</w:t>
            </w:r>
          </w:p>
        </w:tc>
        <w:tc>
          <w:tcPr>
            <w:tcW w:w="1968" w:type="dxa"/>
          </w:tcPr>
          <w:p w:rsidR="000548B0" w:rsidRPr="0087731F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87731F">
              <w:rPr>
                <w:rFonts w:ascii="Times New Roman" w:hAnsi="Times New Roman" w:cs="Times New Roman"/>
              </w:rPr>
              <w:t>Изготвено техническо задание за реконструкция на интернет страницата на областен управител</w:t>
            </w:r>
          </w:p>
        </w:tc>
        <w:tc>
          <w:tcPr>
            <w:tcW w:w="1957" w:type="dxa"/>
          </w:tcPr>
          <w:p w:rsidR="000548B0" w:rsidRPr="0087731F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87731F">
              <w:rPr>
                <w:rFonts w:ascii="Times New Roman" w:hAnsi="Times New Roman" w:cs="Times New Roman"/>
              </w:rPr>
              <w:t>Задание за  разработване на нова интернет страница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68" w:type="dxa"/>
          </w:tcPr>
          <w:p w:rsidR="000548B0" w:rsidRPr="0087731F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87731F">
              <w:rPr>
                <w:rFonts w:ascii="Times New Roman" w:hAnsi="Times New Roman" w:cs="Times New Roman"/>
              </w:rPr>
              <w:t>Интернет страница на областен управител</w:t>
            </w:r>
          </w:p>
        </w:tc>
        <w:tc>
          <w:tcPr>
            <w:tcW w:w="1957" w:type="dxa"/>
          </w:tcPr>
          <w:p w:rsidR="000548B0" w:rsidRPr="0087731F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87731F">
              <w:rPr>
                <w:rFonts w:ascii="Times New Roman" w:hAnsi="Times New Roman" w:cs="Times New Roman"/>
              </w:rPr>
              <w:t>Нова интернет страница  на областен управител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4. Внедряване на е-АУ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м.ХІІ.2018г.Дирекция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Предоставяне на е-АУ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Е-услуги от ІІ-ри  род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Уеб-приложение предоставяне на е-услуги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5 броя е-услуги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5.Поддържане на Интегрирана система за управление 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 xml:space="preserve">Предоставяне на  бързи и висококачествени административни услуги в съответствие с изискванията на стандарта и </w:t>
            </w:r>
            <w:r w:rsidRPr="000548B0">
              <w:rPr>
                <w:rFonts w:ascii="Times New Roman" w:hAnsi="Times New Roman" w:cs="Times New Roman"/>
              </w:rPr>
              <w:lastRenderedPageBreak/>
              <w:t>очакванията на гражданите и бизнеса. Висока степен на сигурност на информационната среда.</w:t>
            </w:r>
          </w:p>
        </w:tc>
        <w:tc>
          <w:tcPr>
            <w:tcW w:w="1968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lastRenderedPageBreak/>
              <w:t>Интегрирана система за управление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ИСУ в съответствие с </w:t>
            </w:r>
            <w:r w:rsidRPr="000548B0">
              <w:rPr>
                <w:rFonts w:ascii="Times New Roman" w:hAnsi="Times New Roman" w:cs="Times New Roman"/>
                <w:i/>
              </w:rPr>
              <w:t>ISO</w:t>
            </w:r>
            <w:r w:rsidRPr="000548B0">
              <w:rPr>
                <w:rFonts w:ascii="Times New Roman" w:hAnsi="Times New Roman" w:cs="Times New Roman"/>
              </w:rPr>
              <w:t xml:space="preserve"> 9001:2015 и </w:t>
            </w:r>
            <w:r w:rsidRPr="000548B0">
              <w:rPr>
                <w:rFonts w:ascii="Times New Roman" w:hAnsi="Times New Roman" w:cs="Times New Roman"/>
                <w:i/>
              </w:rPr>
              <w:t xml:space="preserve">ISO </w:t>
            </w:r>
            <w:r w:rsidRPr="000548B0">
              <w:rPr>
                <w:rFonts w:ascii="Times New Roman" w:hAnsi="Times New Roman" w:cs="Times New Roman"/>
              </w:rPr>
              <w:t>27001:2013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2 вътрешни одита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2 прегледа на ръководството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2 надзорни одита </w:t>
            </w:r>
            <w:r w:rsidRPr="000548B0">
              <w:rPr>
                <w:rFonts w:ascii="Times New Roman" w:hAnsi="Times New Roman" w:cs="Times New Roman"/>
              </w:rPr>
              <w:lastRenderedPageBreak/>
              <w:t>за съответствие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Предприети действия за изпълнение на регламент 679/2016 на ЕС за защита на личните данни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6. Развитие на </w:t>
            </w: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>висококвалифициран и устойчив административен капацитет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 ІІІ. и м. VII. 2018 г. Дирекция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Повишаване квалификацията на служителите чрез участия в обучения;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Информационна система на ИПА</w:t>
            </w:r>
          </w:p>
          <w:p w:rsidR="000548B0" w:rsidRPr="000548B0" w:rsidRDefault="000548B0" w:rsidP="003D614F">
            <w:pPr>
              <w:ind w:firstLine="708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Изготвяне на годишен план за задължително и специализирано обучение и подаване на заявки в ИПА.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8B0">
              <w:rPr>
                <w:rFonts w:ascii="Times New Roman" w:hAnsi="Times New Roman" w:cs="Times New Roman"/>
                <w:sz w:val="20"/>
                <w:szCs w:val="20"/>
              </w:rPr>
              <w:t>м.XII. 2018 г.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Система за обучение и развитие на персонала.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Извършен анализ на ефективността и ефикасността на проведените обучения.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Създаване на условия за ефективно провеждане на студентски практики и стажове.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Програма за новопостъпили служители и стажанти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Брой проведени стажове и практики.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7. Опазване и защита на държавната собственост на територията на областта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Повишена ефективност при управлението и разпореждането с имоти-ДС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 xml:space="preserve">Преписки, свързани с: управление и разпореждане с имоти и вещи ДС и с безвъзмездно прехвърляне в собственост на </w:t>
            </w:r>
            <w:r w:rsidRPr="000548B0">
              <w:rPr>
                <w:rFonts w:ascii="Times New Roman" w:hAnsi="Times New Roman" w:cs="Times New Roman"/>
                <w:lang w:eastAsia="bg-BG"/>
              </w:rPr>
              <w:lastRenderedPageBreak/>
              <w:t>общини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lastRenderedPageBreak/>
              <w:t>Бр. протоколи на комисия по управление и разпореждане с имоти и вещи ДС и бр. разгледани и приключени преписки.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м.декември 2018г.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Годишен доклад за осъществен контрол по чл. 54, ал.3 от ЗДС.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 март 2018г.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Предоставяне на МРРБ на преписи на АДС и годишна информация за управление и разпореждане с имоти Дс на територията на областта.</w:t>
            </w:r>
          </w:p>
        </w:tc>
      </w:tr>
      <w:tr w:rsidR="000548B0" w:rsidRPr="000548B0" w:rsidTr="003C4847">
        <w:trPr>
          <w:trHeight w:val="2186"/>
        </w:trPr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Повишена ефективност при отразяване на промени в АДС, съставяне на АДС  и отписването им от актовите книги за ДС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Преписки, свързани с актуализация, актуване и отписване на имоти ДС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Брой актуализирани, актувани и отписани имоти ДС; ИС „Регистър имоти“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Срочно обслужване на ФЛ и ЮЛ при предоставяне на АУ, свързани с имоти ДС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Заявления за АУ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Бр. предоставени услуги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 xml:space="preserve">Изплащане на  равностойно парично обезщетение на собствениците на </w:t>
            </w:r>
            <w:r w:rsidRPr="000548B0">
              <w:rPr>
                <w:rFonts w:ascii="Times New Roman" w:hAnsi="Times New Roman" w:cs="Times New Roman"/>
                <w:lang w:eastAsia="bg-BG"/>
              </w:rPr>
              <w:lastRenderedPageBreak/>
              <w:t>отчуждени имоти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lastRenderedPageBreak/>
              <w:t>Искания за изплащане на обезщетения   за отчуждени имоти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 xml:space="preserve">Брой разгледани    искания за изплащане на обезщетения   на собственици на отчуждени имоти; </w:t>
            </w:r>
            <w:r w:rsidRPr="000548B0">
              <w:rPr>
                <w:rFonts w:ascii="Times New Roman" w:hAnsi="Times New Roman" w:cs="Times New Roman"/>
              </w:rPr>
              <w:lastRenderedPageBreak/>
              <w:t>Брой протоколи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8.Осъществяване на ефективен контрол по законосъобразността на актовете и действията на органите на местното самоуправление и местната администрация. 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 Дирекция АКРРДС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Установяване на незаконосъобразни решения на общинските съвети и незаконосъобразни актове на органите на местна администрация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Изготвени становища по всички постъпили  решения на общинските съвети.</w:t>
            </w:r>
          </w:p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0 заповеди за отмяна на актове на органи на местна администрация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Брой заповеди за връщане на незаконосъобразните решения  за ново обсъждане или за оспорването им по съдебен ред.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Брой заповеди за отмяна на актове на органи на местна администрация.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9. Разглежд</w:t>
            </w:r>
            <w:r w:rsidR="003C4847">
              <w:rPr>
                <w:rFonts w:ascii="Times New Roman" w:hAnsi="Times New Roman" w:cs="Times New Roman"/>
              </w:rPr>
              <w:t xml:space="preserve">ане на жалби, молби, сигнали и предложения </w:t>
            </w:r>
            <w:r w:rsidRPr="000548B0">
              <w:rPr>
                <w:rFonts w:ascii="Times New Roman" w:hAnsi="Times New Roman" w:cs="Times New Roman"/>
              </w:rPr>
              <w:t xml:space="preserve">от граждани и юридически лица 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Комисия по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чл. 7а от УПОА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Защита на  законните интереси на граждани и юридически лица от необосновано нарушаване на правата им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Бр.проведени заседания на Комисията по чл. 7а от УПОА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Брой извършени  проверки.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Брой отговори на граждани и юридически лица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Изготвяне на годишен доклад за дейността на Комисията по чл. 7а от УПОА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10. Възлагане и приемане на § 4 от ПЗР на ЗСПЗЗ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Уредени поземлени отношения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Планове за новообразувани имоти за част от териториите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 §4 от ПЗР на ЗСПЗЗ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Възложено изработване на планове на новообразуваните имоти или приемане на изработени планове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11. Оказване на правна помощ за законосъобразното осъществяване на правомощията на </w:t>
            </w:r>
            <w:r w:rsidRPr="000548B0">
              <w:rPr>
                <w:rFonts w:ascii="Times New Roman" w:hAnsi="Times New Roman" w:cs="Times New Roman"/>
              </w:rPr>
              <w:lastRenderedPageBreak/>
              <w:t>Областен управител  и осигуряване на ефективна защита на интересите на държавата при заведени съдебни спорове.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lastRenderedPageBreak/>
              <w:t>Постоянен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 xml:space="preserve">Ефективна защита на държавата/ областен управител по образувани </w:t>
            </w:r>
            <w:r w:rsidRPr="000548B0">
              <w:rPr>
                <w:rFonts w:ascii="Times New Roman" w:hAnsi="Times New Roman" w:cs="Times New Roman"/>
              </w:rPr>
              <w:lastRenderedPageBreak/>
              <w:t>съдебни дела.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lastRenderedPageBreak/>
              <w:t>База данни за образуваните съдебни производства.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Брой приключили дела в полза на държавата или Областен управител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lastRenderedPageBreak/>
              <w:t>Актуализирана база данни за образуваните съдебни производства. доклади за  промени в нормативни актове и доклад за резултатите от осъществено процесуално представителство,оповестени на интернет страницата на ОУ</w:t>
            </w:r>
          </w:p>
        </w:tc>
      </w:tr>
      <w:tr w:rsidR="000548B0" w:rsidRPr="000548B0" w:rsidTr="003D614F">
        <w:tc>
          <w:tcPr>
            <w:tcW w:w="2127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b/>
              </w:rPr>
              <w:lastRenderedPageBreak/>
              <w:t>2.Превенция и контрол на рисковете от бедствия и аварии. Управление на процеса по възстановяване и подпомагане след бедствия.</w:t>
            </w:r>
          </w:p>
        </w:tc>
        <w:tc>
          <w:tcPr>
            <w:tcW w:w="1843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Ефективна защита на населението от бедствия и аварии</w:t>
            </w:r>
          </w:p>
        </w:tc>
        <w:tc>
          <w:tcPr>
            <w:tcW w:w="1842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Програма за у</w:t>
            </w:r>
            <w:r w:rsidR="003C4847">
              <w:rPr>
                <w:rFonts w:ascii="Times New Roman" w:hAnsi="Times New Roman" w:cs="Times New Roman"/>
                <w:b/>
              </w:rPr>
              <w:t xml:space="preserve">правление на правителството на </w:t>
            </w:r>
            <w:r w:rsidRPr="000548B0">
              <w:rPr>
                <w:rFonts w:ascii="Times New Roman" w:hAnsi="Times New Roman" w:cs="Times New Roman"/>
                <w:b/>
              </w:rPr>
              <w:t>РБ за периода 2017-2021</w:t>
            </w:r>
          </w:p>
        </w:tc>
        <w:tc>
          <w:tcPr>
            <w:tcW w:w="2409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1.Поддържане на готовността и способността на свързочно-оповестителните средства. 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Подобряване на превантивната дейност и готовността за реагиране при бедствия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3C4847" w:rsidP="003C4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Дирекция </w:t>
            </w:r>
            <w:r w:rsidR="000548B0" w:rsidRPr="000548B0">
              <w:rPr>
                <w:rFonts w:ascii="Times New Roman" w:hAnsi="Times New Roman" w:cs="Times New Roman"/>
              </w:rPr>
              <w:t>АПОФУС</w:t>
            </w:r>
          </w:p>
        </w:tc>
        <w:tc>
          <w:tcPr>
            <w:tcW w:w="2045" w:type="dxa"/>
          </w:tcPr>
          <w:p w:rsidR="000548B0" w:rsidRPr="000548B0" w:rsidRDefault="000548B0" w:rsidP="003C4847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>Подобряване комуникацията</w:t>
            </w:r>
            <w:r w:rsidR="003C4847">
              <w:rPr>
                <w:rFonts w:ascii="Times New Roman" w:hAnsi="Times New Roman" w:cs="Times New Roman"/>
                <w:color w:val="000000"/>
                <w:lang w:eastAsia="bg-BG"/>
              </w:rPr>
              <w:t xml:space="preserve"> </w:t>
            </w: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>чрез системата за ранно оповестяване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1 тренировки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>12 тренировки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Предприемане на действия за намаляване на риска от бедствия.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Създадени регистри за: изпълнение на дадените предписания от проверки на</w:t>
            </w:r>
            <w:r w:rsidR="003C4847">
              <w:rPr>
                <w:rFonts w:ascii="Times New Roman" w:hAnsi="Times New Roman" w:cs="Times New Roman"/>
              </w:rPr>
              <w:t xml:space="preserve"> </w:t>
            </w:r>
            <w:r w:rsidRPr="000548B0">
              <w:rPr>
                <w:rFonts w:ascii="Times New Roman" w:hAnsi="Times New Roman" w:cs="Times New Roman"/>
              </w:rPr>
              <w:t>язовири;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Акту</w:t>
            </w:r>
            <w:r w:rsidR="00F05BBD">
              <w:rPr>
                <w:rFonts w:ascii="Times New Roman" w:hAnsi="Times New Roman" w:cs="Times New Roman"/>
              </w:rPr>
              <w:t>а</w:t>
            </w:r>
            <w:r w:rsidRPr="000548B0">
              <w:rPr>
                <w:rFonts w:ascii="Times New Roman" w:hAnsi="Times New Roman" w:cs="Times New Roman"/>
              </w:rPr>
              <w:t>лни регистри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м.Х.2018г.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Проверка на  язовири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Искания за финансиране от МКВПМС.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Дейност на постоянната областна комисия за разглеждане на </w:t>
            </w:r>
            <w:r w:rsidRPr="000548B0">
              <w:rPr>
                <w:rFonts w:ascii="Times New Roman" w:hAnsi="Times New Roman" w:cs="Times New Roman"/>
              </w:rPr>
              <w:lastRenderedPageBreak/>
              <w:t>искания от общините за предоставяне на средства от републиканския бюджет чрез МКВПМС.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м.ХІ.2018г.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Областен план за защита при бедствия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Заседание на Областен съвет за намаляване риска от бедствия.</w:t>
            </w:r>
          </w:p>
        </w:tc>
      </w:tr>
      <w:tr w:rsidR="000548B0" w:rsidRPr="000548B0" w:rsidTr="003D614F">
        <w:tc>
          <w:tcPr>
            <w:tcW w:w="2127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b/>
              </w:rPr>
              <w:t>3. Провеждане на последователна и прозрачна политика за повишаване ефективността на публичните разходи, осигуряване на добро финансово управление и контрол на публичните средства и активи</w:t>
            </w:r>
          </w:p>
        </w:tc>
        <w:tc>
          <w:tcPr>
            <w:tcW w:w="1843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Стабилна финансова система като предпоставка за устойчиво икономическо развитие и поддържане на атрактивна инвестиционна среда</w:t>
            </w:r>
          </w:p>
        </w:tc>
        <w:tc>
          <w:tcPr>
            <w:tcW w:w="1842" w:type="dxa"/>
            <w:vMerge w:val="restart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Програма за управление на правителството на  РБ за периода 2017-2021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Тригодишна бюджетна прогноза</w:t>
            </w:r>
          </w:p>
        </w:tc>
        <w:tc>
          <w:tcPr>
            <w:tcW w:w="2409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>1.Повишаване ефективността на управление на публичните разходи и  осигуряване на добро финансово управление и надеждни системи за контрол на публичните средства</w:t>
            </w:r>
            <w:r w:rsidRPr="00054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Периодично наблюдение на изпълнението на бюджета по параграфи, подпараграфи, политики и програми.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Отчети за касово изпълнение и финансови отчети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>Брой о</w:t>
            </w:r>
            <w:r w:rsidRPr="000548B0">
              <w:rPr>
                <w:rFonts w:ascii="Times New Roman" w:hAnsi="Times New Roman" w:cs="Times New Roman"/>
              </w:rPr>
              <w:t>тчети за касово изпълнение и финансови отчети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 ІІ. 2018г.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bCs/>
              </w:rPr>
              <w:t>Повишаване на ефективността на системите за управление и контрол.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СФУК, Стратегия за управление на риска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color w:val="000000"/>
              </w:rPr>
              <w:t>Попълнен въпросник за състоянието на СФУК и Доклад за състоянието на СФУК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м.ІІІ.2018г.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color w:val="000000"/>
              </w:rPr>
              <w:t xml:space="preserve">Извършена </w:t>
            </w:r>
            <w:r w:rsidRPr="000548B0">
              <w:rPr>
                <w:rFonts w:ascii="Times New Roman" w:hAnsi="Times New Roman" w:cs="Times New Roman"/>
                <w:i/>
                <w:color w:val="000000"/>
              </w:rPr>
              <w:t>оценка</w:t>
            </w:r>
            <w:r w:rsidRPr="000548B0">
              <w:rPr>
                <w:rFonts w:ascii="Times New Roman" w:hAnsi="Times New Roman" w:cs="Times New Roman"/>
                <w:color w:val="000000"/>
              </w:rPr>
              <w:t xml:space="preserve"> на риска.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м.VІІ.2018г.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color w:val="000000"/>
              </w:rPr>
              <w:t>Мониторинг на процеса по управление на риска.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м.ХІІ.2018г.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color w:val="000000"/>
              </w:rPr>
              <w:t>Мониторинг на СФУК.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lastRenderedPageBreak/>
              <w:t>Дирекция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lastRenderedPageBreak/>
              <w:t xml:space="preserve">Финансова </w:t>
            </w: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lastRenderedPageBreak/>
              <w:t>обоснованост и законосъобразност на управленските решения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lastRenderedPageBreak/>
              <w:t>Контролни листи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 xml:space="preserve">Непоемане на </w:t>
            </w: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lastRenderedPageBreak/>
              <w:t>задължения и неизвършване на разходи без осъществен предварителен контрол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м.ХІІ.2018г.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>Съответствие между данните от счетоводното отчитане и фактическото състояние на активите и пасивите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>Извършена  годишна инвентаризация за 2017г.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Извършена инвентаризация за 2018г.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Доклад от инвентаризация</w:t>
            </w:r>
          </w:p>
        </w:tc>
      </w:tr>
      <w:tr w:rsidR="000548B0" w:rsidRPr="000548B0" w:rsidTr="003D614F">
        <w:tc>
          <w:tcPr>
            <w:tcW w:w="2127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4. Ефективност при провеждане на секторни политики на областно ниво</w:t>
            </w:r>
          </w:p>
        </w:tc>
        <w:tc>
          <w:tcPr>
            <w:tcW w:w="1843" w:type="dxa"/>
            <w:vMerge w:val="restart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Балансирано регионално развитие</w:t>
            </w:r>
          </w:p>
        </w:tc>
        <w:tc>
          <w:tcPr>
            <w:tcW w:w="1842" w:type="dxa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Програма за управление на правителството на  РБ за периода 2017-2021</w:t>
            </w:r>
          </w:p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НПЕЕМЖС</w:t>
            </w:r>
          </w:p>
        </w:tc>
        <w:tc>
          <w:tcPr>
            <w:tcW w:w="2409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1. Оказване на подкрепа при изпълнение на мерките за енергийна ефективност на сградите по НПЕЕМЖС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3D614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Повишаване енергийната ефеткивност на сградите и реализирани икономии за домакинствата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Събиране, обобщаване, извършване на контрол и предоставяне на информация до управляващия орган по програмата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Брой ежеседмични и ежемесечни справки по изпълнението на програмата на територията на областта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Осъществен контрол на обществени поръчки, изпълнение на договорите и по изпълнение на СМР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Областна стратегия за развитие за периода 2014-2020</w:t>
            </w:r>
          </w:p>
        </w:tc>
        <w:tc>
          <w:tcPr>
            <w:tcW w:w="2409" w:type="dxa"/>
          </w:tcPr>
          <w:p w:rsidR="000548B0" w:rsidRPr="000548B0" w:rsidRDefault="000548B0" w:rsidP="0087731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2. Обсъждане и приемане на Междинен доклад Актуализиран документ за изпълнение на ОСР 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 V.2018г. Дирекция АКРРДС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Информация за съответствие на изпълнението на стратегическите цели на областно ниво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Проект на Междинен доклад и Актуализиран документ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Обсъдени, одобрени и приети от Областен съвет по развитие Междинен доклад и Актуализиран документ за </w:t>
            </w:r>
            <w:r w:rsidRPr="000548B0">
              <w:rPr>
                <w:rFonts w:ascii="Times New Roman" w:hAnsi="Times New Roman" w:cs="Times New Roman"/>
              </w:rPr>
              <w:lastRenderedPageBreak/>
              <w:t>изпълнение на ОСР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Увеличаване на доходите чрез заетост и по-висока производителност на труда</w:t>
            </w:r>
          </w:p>
        </w:tc>
        <w:tc>
          <w:tcPr>
            <w:tcW w:w="1842" w:type="dxa"/>
            <w:vMerge w:val="restart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Актуализирана стратегия по заетостта на Република България 2013 - 2020 година</w:t>
            </w:r>
          </w:p>
        </w:tc>
        <w:tc>
          <w:tcPr>
            <w:tcW w:w="2409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3. Предоставяне на информация за потребностите на работодателите от работна сила в областта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 ІІ-м. ІІІ 2018г.</w:t>
            </w:r>
          </w:p>
          <w:p w:rsidR="000548B0" w:rsidRPr="000548B0" w:rsidRDefault="000548B0" w:rsidP="003D614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м.VІІІ-ІХ 2018г.</w:t>
            </w:r>
          </w:p>
          <w:p w:rsidR="000548B0" w:rsidRPr="000548B0" w:rsidRDefault="000548B0" w:rsidP="003D614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Придобиване на реална представа за потребността на работодателите от работна сила и постигнато съответствие с държавния план- прием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База данни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Организирано проучване сред работодателите относно потребностите от работна сила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Анализ за реалните потребности на работодателите в област Велико Търново от работна сила.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3C484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  <w:bookmarkStart w:id="0" w:name="_GoBack"/>
            <w:bookmarkEnd w:id="0"/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Осигуряване на заетост за безработни лица с трайни увреждания в ОА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Осигурена заетост за 4 лица</w:t>
            </w:r>
          </w:p>
        </w:tc>
        <w:tc>
          <w:tcPr>
            <w:tcW w:w="1957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Запазване на осигурената заетост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  <w:bCs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Ликвидиране на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  <w:bCs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неграмотността и задължително образование, повишаване качеството на образованието, практически ориентирано към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  <w:bCs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потребностите на пазара на труда, чрез мотивирани, подготвени и подкрепяни</w:t>
            </w:r>
          </w:p>
          <w:p w:rsidR="000548B0" w:rsidRPr="000548B0" w:rsidRDefault="000548B0" w:rsidP="000548B0">
            <w:pPr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учители.</w:t>
            </w:r>
          </w:p>
        </w:tc>
        <w:tc>
          <w:tcPr>
            <w:tcW w:w="1842" w:type="dxa"/>
            <w:vMerge w:val="restart"/>
          </w:tcPr>
          <w:p w:rsidR="000548B0" w:rsidRPr="000548B0" w:rsidRDefault="000548B0" w:rsidP="000548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Областна стратегия за подкрепа личностното развитие на децата и учениците 2017-2018г</w:t>
            </w:r>
          </w:p>
        </w:tc>
        <w:tc>
          <w:tcPr>
            <w:tcW w:w="2409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4. Координация на държавната политика в сферата на образованието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0548B0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Съгласуван държавен план-прием за учебната 2018-2019 г.</w:t>
            </w:r>
          </w:p>
        </w:tc>
        <w:tc>
          <w:tcPr>
            <w:tcW w:w="1968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Предложение на РУО на МОН</w:t>
            </w:r>
          </w:p>
        </w:tc>
        <w:tc>
          <w:tcPr>
            <w:tcW w:w="1957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Заседание на Комисия по заетост към Областния съвет за развитие за съгласуване на държавния план прием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0548B0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Осъществен контрол за изпълнение на Механизъм за съвместна работа на институциите по обхващане и задържане в образователната </w:t>
            </w:r>
            <w:r w:rsidRPr="000548B0">
              <w:rPr>
                <w:rFonts w:ascii="Times New Roman" w:hAnsi="Times New Roman" w:cs="Times New Roman"/>
              </w:rPr>
              <w:lastRenderedPageBreak/>
              <w:t>система на децата и учениците в задължителна предучилищна и училищна възраст на областно ниво</w:t>
            </w:r>
          </w:p>
        </w:tc>
        <w:tc>
          <w:tcPr>
            <w:tcW w:w="1968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lastRenderedPageBreak/>
              <w:t>Създаден координационен механизъм</w:t>
            </w:r>
          </w:p>
        </w:tc>
        <w:tc>
          <w:tcPr>
            <w:tcW w:w="1957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Обобщена информация за резултатите от предприетите действия и мерки за обхващане и задържане на децата и учениците в </w:t>
            </w:r>
            <w:r w:rsidRPr="000548B0">
              <w:rPr>
                <w:rFonts w:ascii="Times New Roman" w:hAnsi="Times New Roman" w:cs="Times New Roman"/>
              </w:rPr>
              <w:lastRenderedPageBreak/>
              <w:t>образователната система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48B0" w:rsidRPr="000548B0" w:rsidRDefault="000548B0" w:rsidP="000548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Ефективно управление на средствата от ЕС за осигуряване на максимален положителен ефект</w:t>
            </w:r>
          </w:p>
        </w:tc>
        <w:tc>
          <w:tcPr>
            <w:tcW w:w="1842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5. Подкрепа на общини, териториални структури, бизнеса и НПО при изготвяне, кандидатстване и реализация на проекти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0548B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Съдействие на заинтересованите страни при кандидатстване  и реализация на проекти</w:t>
            </w:r>
          </w:p>
        </w:tc>
        <w:tc>
          <w:tcPr>
            <w:tcW w:w="1968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Информация за изпълнени или в процес на изпълнение проекти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Оказване на подкрепа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48B0" w:rsidRPr="000548B0" w:rsidRDefault="000548B0" w:rsidP="000548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Развитие на изкуствата, културните и творчески индустрии, културното наследство и културния туризъм</w:t>
            </w:r>
          </w:p>
        </w:tc>
        <w:tc>
          <w:tcPr>
            <w:tcW w:w="1842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6.  Изготвяне на Областен културен календар за културни събития на територията на областта. </w:t>
            </w:r>
          </w:p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Съдействие при организиране на културни прояви на територията на областта.</w:t>
            </w:r>
          </w:p>
        </w:tc>
        <w:tc>
          <w:tcPr>
            <w:tcW w:w="1402" w:type="dxa"/>
          </w:tcPr>
          <w:p w:rsidR="000548B0" w:rsidRPr="000548B0" w:rsidRDefault="000548B0" w:rsidP="000548B0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 І. 2018г. Дирекция АКРРДС</w:t>
            </w:r>
          </w:p>
        </w:tc>
        <w:tc>
          <w:tcPr>
            <w:tcW w:w="2045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Популяризиране на културните събития, обичаи и традиции и достигане на информация до обществото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Събрана от общините информация, необходима за изготвяне на културен календар</w:t>
            </w:r>
          </w:p>
          <w:p w:rsidR="000548B0" w:rsidRPr="000548B0" w:rsidRDefault="000548B0" w:rsidP="000548B0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Информация за събитие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Календар за културни събития на територията на областта, оповестен на интернет страницата</w:t>
            </w:r>
          </w:p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Оказано съдействие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548B0" w:rsidRPr="000548B0" w:rsidRDefault="000548B0" w:rsidP="000548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Устойчива политика за здравословна околна среда. Опазване и оползотворяване на природните ресурси.</w:t>
            </w:r>
          </w:p>
        </w:tc>
        <w:tc>
          <w:tcPr>
            <w:tcW w:w="1842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7. Извършване на проверки на проводимостта на речните легла извън урбанизираните територии 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0548B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Обезпечаване на нормална проводимост на легла с оглед недопускане на щети</w:t>
            </w:r>
          </w:p>
        </w:tc>
        <w:tc>
          <w:tcPr>
            <w:tcW w:w="1968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База данни</w:t>
            </w:r>
          </w:p>
        </w:tc>
        <w:tc>
          <w:tcPr>
            <w:tcW w:w="1957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Доклад за резултатите от извършената проверка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м.ІV.2018г.</w:t>
            </w:r>
          </w:p>
          <w:p w:rsidR="000548B0" w:rsidRPr="000548B0" w:rsidRDefault="000548B0" w:rsidP="000548B0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Възлагане на обществена поръчка за почистване коритото на р. </w:t>
            </w:r>
            <w:r w:rsidRPr="000548B0">
              <w:rPr>
                <w:rFonts w:ascii="Times New Roman" w:hAnsi="Times New Roman" w:cs="Times New Roman"/>
              </w:rPr>
              <w:lastRenderedPageBreak/>
              <w:t>Янтра в извън урбанизирана територия</w:t>
            </w:r>
          </w:p>
        </w:tc>
        <w:tc>
          <w:tcPr>
            <w:tcW w:w="1968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lastRenderedPageBreak/>
              <w:t>Проект за почистване р. Янтра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Възложена обществена поръчка по реда на ЗОП</w:t>
            </w:r>
          </w:p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Искане до </w:t>
            </w:r>
            <w:r w:rsidRPr="000548B0">
              <w:rPr>
                <w:rFonts w:ascii="Times New Roman" w:hAnsi="Times New Roman" w:cs="Times New Roman"/>
              </w:rPr>
              <w:lastRenderedPageBreak/>
              <w:t>МКВПМС за финансиране на дейностите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548B0" w:rsidRPr="000548B0" w:rsidRDefault="000548B0" w:rsidP="000548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Ефективно поддържане, модернизация и развитие на транспортната инфраструктура</w:t>
            </w:r>
          </w:p>
        </w:tc>
        <w:tc>
          <w:tcPr>
            <w:tcW w:w="1842" w:type="dxa"/>
            <w:vMerge w:val="restart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8. Обсъждане на промени в маршрутните разписания и съгласуване на вътрешнообластната транспортна схема 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0548B0" w:rsidRPr="000548B0" w:rsidRDefault="000548B0" w:rsidP="000548B0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Осъществяване на обществен превоз на пътници по автобусни линии съгласно утвърдена областна транспортна схема</w:t>
            </w:r>
          </w:p>
        </w:tc>
        <w:tc>
          <w:tcPr>
            <w:tcW w:w="1968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Междуселищни автобусни линии, свързващи населени места от две или повече общини от една област.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Работна среща за актуализация на Областната транспортна схема</w:t>
            </w:r>
          </w:p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Актуализирана Областна транспортна схема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9. Извършване на проверки на състоянието на пешеходните пътеки в урбанизираните и извън урбанизираните територии на област Велико Търново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 ІІІ. 2018г.</w:t>
            </w:r>
          </w:p>
          <w:p w:rsidR="000548B0" w:rsidRPr="000548B0" w:rsidRDefault="000548B0" w:rsidP="000548B0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Привеждане на пешеходните пътеки, съгласно Наредба № 2от 17.01.2001 г. за сигнализация на пътищата с пътна маркировка</w:t>
            </w:r>
          </w:p>
        </w:tc>
        <w:tc>
          <w:tcPr>
            <w:tcW w:w="1968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Сформирана Комисия за проверка състоянието на пешеходните  пътеки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Предложени адекватни мерки за привеждане на</w:t>
            </w:r>
          </w:p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пешеходните пътеки, съгласно Наредба № 2от 17.01.2001 г. за сигнализация на пътищата с пътна маркировка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548B0" w:rsidRPr="000548B0" w:rsidRDefault="000548B0" w:rsidP="000548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Осигуряване на подкрепяща и насърчаваща среда за социална, професионална и личностна реализация на младите хора в страната.</w:t>
            </w:r>
          </w:p>
        </w:tc>
        <w:tc>
          <w:tcPr>
            <w:tcW w:w="1842" w:type="dxa"/>
            <w:vMerge w:val="restart"/>
          </w:tcPr>
          <w:p w:rsidR="000548B0" w:rsidRPr="000548B0" w:rsidRDefault="000548B0" w:rsidP="000548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Национална стратегия за младежта</w:t>
            </w:r>
          </w:p>
        </w:tc>
        <w:tc>
          <w:tcPr>
            <w:tcW w:w="2409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10. Съдействие за усъвършенстване на механизма за координация, наблюдение и отчитане на националната политика за младежта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 ІІІ. 2018г.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Създаване на благоприятни условия за пълноценно личностно развитие на младежите чрез  участието им в обществения и икономическия живот</w:t>
            </w:r>
          </w:p>
        </w:tc>
        <w:tc>
          <w:tcPr>
            <w:tcW w:w="1968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Общински планове за младежта</w:t>
            </w:r>
          </w:p>
        </w:tc>
        <w:tc>
          <w:tcPr>
            <w:tcW w:w="1957" w:type="dxa"/>
          </w:tcPr>
          <w:p w:rsidR="000548B0" w:rsidRPr="000548B0" w:rsidRDefault="000548B0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Областен план за младежта, оповестен на интернет страницата на областен управител</w:t>
            </w:r>
          </w:p>
        </w:tc>
      </w:tr>
      <w:tr w:rsidR="000548B0" w:rsidRPr="000548B0" w:rsidTr="003D614F">
        <w:tc>
          <w:tcPr>
            <w:tcW w:w="2127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11. Засилване ефективността та действащите областни съвети и комисии при </w:t>
            </w:r>
            <w:r w:rsidRPr="000548B0">
              <w:rPr>
                <w:rFonts w:ascii="Times New Roman" w:hAnsi="Times New Roman" w:cs="Times New Roman"/>
              </w:rPr>
              <w:lastRenderedPageBreak/>
              <w:t>провеждане на политиките са областно ниво.</w:t>
            </w:r>
          </w:p>
        </w:tc>
        <w:tc>
          <w:tcPr>
            <w:tcW w:w="1402" w:type="dxa"/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lastRenderedPageBreak/>
              <w:t>Постоянен</w:t>
            </w:r>
          </w:p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Създаване на благоприятна жизнена среда и подобряване </w:t>
            </w:r>
            <w:r w:rsidRPr="000548B0">
              <w:rPr>
                <w:rFonts w:ascii="Times New Roman" w:hAnsi="Times New Roman" w:cs="Times New Roman"/>
              </w:rPr>
              <w:lastRenderedPageBreak/>
              <w:t>качеството на живот в областта</w:t>
            </w:r>
          </w:p>
        </w:tc>
        <w:tc>
          <w:tcPr>
            <w:tcW w:w="1968" w:type="dxa"/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lastRenderedPageBreak/>
              <w:t>Сформирани областни съвети и комисии</w:t>
            </w:r>
          </w:p>
        </w:tc>
        <w:tc>
          <w:tcPr>
            <w:tcW w:w="1957" w:type="dxa"/>
          </w:tcPr>
          <w:p w:rsidR="000548B0" w:rsidRPr="000548B0" w:rsidRDefault="00F05BBD" w:rsidP="00F05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Брой проведени </w:t>
            </w:r>
            <w:r w:rsidR="000548B0" w:rsidRPr="000548B0">
              <w:rPr>
                <w:rFonts w:ascii="Times New Roman" w:hAnsi="Times New Roman" w:cs="Times New Roman"/>
              </w:rPr>
              <w:t xml:space="preserve">заседания на областни съвети и комисии и </w:t>
            </w:r>
            <w:r w:rsidR="000548B0" w:rsidRPr="000548B0">
              <w:rPr>
                <w:rFonts w:ascii="Times New Roman" w:hAnsi="Times New Roman" w:cs="Times New Roman"/>
              </w:rPr>
              <w:lastRenderedPageBreak/>
              <w:t>реализирани решения по тях.</w:t>
            </w:r>
          </w:p>
        </w:tc>
      </w:tr>
      <w:tr w:rsidR="001D1F77" w:rsidRPr="000548B0" w:rsidTr="003D614F">
        <w:tc>
          <w:tcPr>
            <w:tcW w:w="2127" w:type="dxa"/>
          </w:tcPr>
          <w:p w:rsidR="001D1F77" w:rsidRPr="000548B0" w:rsidRDefault="001D1F77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Pr="000548B0">
              <w:rPr>
                <w:rFonts w:ascii="Times New Roman" w:hAnsi="Times New Roman" w:cs="Times New Roman"/>
                <w:b/>
              </w:rPr>
              <w:t>Подобряване на координацията и взаимодействието между компетентните институции, работещи по противодействие на корупцията.</w:t>
            </w:r>
          </w:p>
        </w:tc>
        <w:tc>
          <w:tcPr>
            <w:tcW w:w="1843" w:type="dxa"/>
          </w:tcPr>
          <w:p w:rsidR="001D1F77" w:rsidRPr="000548B0" w:rsidRDefault="001D1F77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Противодействие на тероризма, организираната престъпност и корупцията.</w:t>
            </w:r>
          </w:p>
          <w:p w:rsidR="001D1F77" w:rsidRPr="000548B0" w:rsidRDefault="001D1F77" w:rsidP="003D61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b/>
              </w:rPr>
              <w:t>Създаване на нов ред за преследване на корупцията и противодействие на престъпността.</w:t>
            </w:r>
          </w:p>
        </w:tc>
        <w:tc>
          <w:tcPr>
            <w:tcW w:w="1842" w:type="dxa"/>
          </w:tcPr>
          <w:p w:rsidR="001D1F77" w:rsidRPr="000548B0" w:rsidRDefault="001D1F77" w:rsidP="003D61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b/>
              </w:rPr>
              <w:t>Програма за управление на правителството на  РБ за периода 2017-2021</w:t>
            </w:r>
          </w:p>
        </w:tc>
        <w:tc>
          <w:tcPr>
            <w:tcW w:w="2409" w:type="dxa"/>
          </w:tcPr>
          <w:p w:rsidR="001D1F77" w:rsidRPr="000548B0" w:rsidRDefault="001D1F77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1.</w:t>
            </w:r>
            <w:r w:rsidRPr="000548B0">
              <w:rPr>
                <w:rFonts w:ascii="Times New Roman" w:hAnsi="Times New Roman" w:cs="Times New Roman"/>
                <w:lang w:eastAsia="bg-BG"/>
              </w:rPr>
              <w:t xml:space="preserve"> Обучение относно практическото приложение на ЗПКОНПИ съвместно с Комисията за противодействие на корупцията и отнемане на незаконно придобито имущество </w:t>
            </w:r>
          </w:p>
        </w:tc>
        <w:tc>
          <w:tcPr>
            <w:tcW w:w="1402" w:type="dxa"/>
          </w:tcPr>
          <w:p w:rsidR="001D1F77" w:rsidRPr="000548B0" w:rsidRDefault="001D1F77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 ІV. 2018г.</w:t>
            </w:r>
          </w:p>
          <w:p w:rsidR="001D1F77" w:rsidRPr="000548B0" w:rsidRDefault="001D1F77" w:rsidP="003D614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1D1F77" w:rsidRPr="000548B0" w:rsidRDefault="001D1F77" w:rsidP="003D61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Създаване на необходимата организация за изпълнение на нормативни задължения</w:t>
            </w:r>
          </w:p>
        </w:tc>
        <w:tc>
          <w:tcPr>
            <w:tcW w:w="1968" w:type="dxa"/>
          </w:tcPr>
          <w:p w:rsidR="001D1F77" w:rsidRPr="000548B0" w:rsidRDefault="001D1F77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Нов закон за противодействие на корупцията</w:t>
            </w:r>
          </w:p>
          <w:p w:rsidR="001D1F77" w:rsidRPr="000548B0" w:rsidRDefault="001D1F77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  <w:p w:rsidR="001D1F77" w:rsidRPr="000548B0" w:rsidRDefault="001D1F77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Декларации  по ЗПУКИ /отм./, оповестени на интернет страницата на Областен управител</w:t>
            </w:r>
          </w:p>
        </w:tc>
        <w:tc>
          <w:tcPr>
            <w:tcW w:w="1957" w:type="dxa"/>
          </w:tcPr>
          <w:p w:rsidR="001D1F77" w:rsidRPr="000548B0" w:rsidRDefault="001D1F77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1 обучение</w:t>
            </w:r>
          </w:p>
          <w:p w:rsidR="001D1F77" w:rsidRPr="000548B0" w:rsidRDefault="001D1F77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Нови декларации по реда на ЗПКОНПИ, оповестени на интернет страницата на областен управител.</w:t>
            </w:r>
          </w:p>
        </w:tc>
      </w:tr>
    </w:tbl>
    <w:p w:rsidR="00C46B1D" w:rsidRPr="000548B0" w:rsidRDefault="00C46B1D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Указания за попълване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1 „Цели за 201</w:t>
      </w:r>
      <w:r w:rsidR="001D7FC1" w:rsidRPr="0005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г.”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В колона 1 посочете целите на Вашата администрация за 201</w:t>
      </w:r>
      <w:r w:rsidR="001D7FC1" w:rsidRPr="000548B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г., като ги номерирате. 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. Годишната цел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трябва да е съдържателно обвързана със стратегическата цел в колона 2, като осигурява нейното постигане без да я възпроизвежда. 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Годишната цел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трябва да бъде</w:t>
      </w:r>
      <w:r w:rsidR="007305DF" w:rsidRPr="0005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ясна,конкретна, реалистична, обвързана с човешките ресурси и финансовите средства, с които разполага Вашата администрация. 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Годишната цел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е постижима чрез дейности, изпълними в рамките на календарната година.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4. Освен от стратегическите цели, 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годишните цели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могат да произтичат и от мисията на Вашата администрация във връзка с предоставяне на публични услуги.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2 „Стратегически цели”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В колона 2 посочете стратегическата цел, въз основа на която сте формулирали всяка от целите за 201</w:t>
      </w:r>
      <w:r w:rsidR="001D7FC1" w:rsidRPr="000548B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Стратегическата цел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произтича от:</w:t>
      </w:r>
    </w:p>
    <w:p w:rsidR="000D5E6B" w:rsidRPr="000548B0" w:rsidRDefault="000D5E6B" w:rsidP="000D5E6B">
      <w:pPr>
        <w:numPr>
          <w:ilvl w:val="1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Програмата на правителството</w:t>
      </w:r>
    </w:p>
    <w:p w:rsidR="000D5E6B" w:rsidRPr="000548B0" w:rsidRDefault="000D5E6B" w:rsidP="000D5E6B">
      <w:pPr>
        <w:numPr>
          <w:ilvl w:val="1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Стратегическите документи, които изпълнява Вашата администрация</w:t>
      </w:r>
    </w:p>
    <w:p w:rsidR="000D5E6B" w:rsidRPr="000548B0" w:rsidRDefault="000D5E6B" w:rsidP="000D5E6B">
      <w:pPr>
        <w:numPr>
          <w:ilvl w:val="1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Тригодишната бюджетна прогноза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Колона 3 „Стратегически документи”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В колона 3 посочете документа, в който е заложена конкретната стратегическа цел, посочена в колона 2.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Стратегически документи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са стратегиите, политиките, програмите, плановете и концепциите. 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4 „Дейности”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Вколона 4посочете всички дейности, които Вашата администрация планира да осъществи, за да постигне поставените цели за 201</w:t>
      </w:r>
      <w:r w:rsidR="001D7FC1" w:rsidRPr="000548B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Дейностите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са действията на Вашата администрация  за постигане на целите за 201</w:t>
      </w:r>
      <w:r w:rsidR="001D7FC1" w:rsidRPr="000548B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г. Всяка от целите за 201</w:t>
      </w:r>
      <w:r w:rsidR="001D7FC1" w:rsidRPr="000548B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г.може да бъде постигната чрез една или повече дейности. Дейностите се осъществяват от звената във Вашата администрация (дирекции, отдели, сектори), поради което разпределението на дейностите намира отражение в работните планове на служителите.  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5 „Срок”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В колона 5 посочете месеца на 201</w:t>
      </w:r>
      <w:r w:rsidR="001D7FC1" w:rsidRPr="000548B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г, в който Вашата администрация планира да извърши конкретната дейност. 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6 „Очакван резултат”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Вколона 6посочете в какво ще се състои резултатът от Вашата дейност. 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Очакваният резултат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е ефектът, ползата за обществото от дейностите на Вашата администрация. Очакваният резултат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включва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рутинната дейност на Вашата администрация, съпътстваща постигането на ежегодните цели като: командировки, закупени компютри, обучение на служителите и др. 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7 „Индикатор за изпълнение”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В колона 7 задайте текущите и целевите стойности на индикатора за изпълнение, изразени в цифри, проценти, мерна единица и др.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Индикаторът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показва промените в състоянието на обекта на въздействие преди и след дейностите за изпълнение на целите. 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Индикаторът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е конкретна стойност, изразена в цифри, проценти, мерна единица и др., например - 5 км., 10 броя, 20%.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Индикаторът за изпълнение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се състои от: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1. Индикатор за текущо състояние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, който</w:t>
      </w:r>
      <w:r w:rsidR="00127C7B" w:rsidRPr="0005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показва</w:t>
      </w:r>
      <w:r w:rsidR="00127C7B" w:rsidRPr="0005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състоянието на обекта на въздействие 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преди предприетите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от Вас дейности. 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2. Индикатор за целево състояние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, който</w:t>
      </w:r>
      <w:r w:rsidR="00127C7B" w:rsidRPr="0005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показва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 бъдещото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желано</w:t>
      </w:r>
      <w:r w:rsidR="00127C7B" w:rsidRPr="0005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състояние на обекта на въздействие 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 предприетите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от Вас дейности. </w:t>
      </w:r>
    </w:p>
    <w:p w:rsidR="000D5E6B" w:rsidRPr="000548B0" w:rsidRDefault="000D5E6B" w:rsidP="000D5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7C7B" w:rsidRPr="000548B0" w:rsidRDefault="00127C7B" w:rsidP="00127C7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Имена и длъжност на попълващия: Петя Райкова-Директор Дирекция АПОФУС</w:t>
      </w:r>
      <w:r w:rsidR="00737924"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 /П/</w:t>
      </w:r>
    </w:p>
    <w:p w:rsidR="00B41A57" w:rsidRPr="000548B0" w:rsidRDefault="00B41A57" w:rsidP="00127C7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С</w:t>
      </w:r>
      <w:r w:rsidR="001D7FC1" w:rsidRPr="000548B0">
        <w:rPr>
          <w:rFonts w:ascii="Times New Roman" w:eastAsia="Times New Roman" w:hAnsi="Times New Roman" w:cs="Times New Roman"/>
          <w:b/>
          <w:sz w:val="24"/>
          <w:szCs w:val="24"/>
        </w:rPr>
        <w:t>илв</w:t>
      </w:r>
      <w:r w:rsidR="00784B6D" w:rsidRPr="000548B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1D7FC1" w:rsidRPr="000548B0">
        <w:rPr>
          <w:rFonts w:ascii="Times New Roman" w:eastAsia="Times New Roman" w:hAnsi="Times New Roman" w:cs="Times New Roman"/>
          <w:b/>
          <w:sz w:val="24"/>
          <w:szCs w:val="24"/>
        </w:rPr>
        <w:t>я Димитрова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-Директор Дирекция АКРРДС /П/</w:t>
      </w:r>
    </w:p>
    <w:sectPr w:rsidR="00B41A57" w:rsidRPr="000548B0" w:rsidSect="009E3068">
      <w:footerReference w:type="default" r:id="rId9"/>
      <w:pgSz w:w="16838" w:h="11906" w:orient="landscape"/>
      <w:pgMar w:top="992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20F" w:rsidRDefault="00BF720F" w:rsidP="00B30271">
      <w:pPr>
        <w:spacing w:after="0" w:line="240" w:lineRule="auto"/>
      </w:pPr>
      <w:r>
        <w:separator/>
      </w:r>
    </w:p>
  </w:endnote>
  <w:endnote w:type="continuationSeparator" w:id="0">
    <w:p w:rsidR="00BF720F" w:rsidRDefault="00BF720F" w:rsidP="00B3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481204"/>
      <w:docPartObj>
        <w:docPartGallery w:val="Page Numbers (Bottom of Page)"/>
        <w:docPartUnique/>
      </w:docPartObj>
    </w:sdtPr>
    <w:sdtEndPr/>
    <w:sdtContent>
      <w:p w:rsidR="00BF720F" w:rsidRDefault="00BF72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84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F720F" w:rsidRDefault="00BF72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20F" w:rsidRDefault="00BF720F" w:rsidP="00B30271">
      <w:pPr>
        <w:spacing w:after="0" w:line="240" w:lineRule="auto"/>
      </w:pPr>
      <w:r>
        <w:separator/>
      </w:r>
    </w:p>
  </w:footnote>
  <w:footnote w:type="continuationSeparator" w:id="0">
    <w:p w:rsidR="00BF720F" w:rsidRDefault="00BF720F" w:rsidP="00B30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BAA"/>
    <w:multiLevelType w:val="hybridMultilevel"/>
    <w:tmpl w:val="98F227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509EA"/>
    <w:multiLevelType w:val="hybridMultilevel"/>
    <w:tmpl w:val="D97CE8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924D3"/>
    <w:multiLevelType w:val="hybridMultilevel"/>
    <w:tmpl w:val="0456BD1C"/>
    <w:lvl w:ilvl="0" w:tplc="00588B2E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hint="default"/>
      </w:rPr>
    </w:lvl>
    <w:lvl w:ilvl="1" w:tplc="F9F02F0A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77D579D7"/>
    <w:multiLevelType w:val="hybridMultilevel"/>
    <w:tmpl w:val="552AC1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12534"/>
    <w:multiLevelType w:val="hybridMultilevel"/>
    <w:tmpl w:val="0F0A69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71"/>
    <w:rsid w:val="000223BA"/>
    <w:rsid w:val="00027B75"/>
    <w:rsid w:val="00030B07"/>
    <w:rsid w:val="00035C58"/>
    <w:rsid w:val="000406D3"/>
    <w:rsid w:val="00052A07"/>
    <w:rsid w:val="000548B0"/>
    <w:rsid w:val="000575F0"/>
    <w:rsid w:val="000621B0"/>
    <w:rsid w:val="000634F5"/>
    <w:rsid w:val="000A08D2"/>
    <w:rsid w:val="000A54A6"/>
    <w:rsid w:val="000A5CEB"/>
    <w:rsid w:val="000C27B0"/>
    <w:rsid w:val="000C33A5"/>
    <w:rsid w:val="000C647A"/>
    <w:rsid w:val="000D12D2"/>
    <w:rsid w:val="000D5E6B"/>
    <w:rsid w:val="000E7527"/>
    <w:rsid w:val="000F4EEF"/>
    <w:rsid w:val="00105351"/>
    <w:rsid w:val="001153CD"/>
    <w:rsid w:val="00123CE4"/>
    <w:rsid w:val="00127C7B"/>
    <w:rsid w:val="00135FDF"/>
    <w:rsid w:val="001435A8"/>
    <w:rsid w:val="001562AF"/>
    <w:rsid w:val="001641C3"/>
    <w:rsid w:val="001655BD"/>
    <w:rsid w:val="001750D4"/>
    <w:rsid w:val="00175A69"/>
    <w:rsid w:val="00180A69"/>
    <w:rsid w:val="00194820"/>
    <w:rsid w:val="0019711F"/>
    <w:rsid w:val="001A70CF"/>
    <w:rsid w:val="001B6916"/>
    <w:rsid w:val="001B720B"/>
    <w:rsid w:val="001C3CED"/>
    <w:rsid w:val="001D1F77"/>
    <w:rsid w:val="001D7FC1"/>
    <w:rsid w:val="001E59EC"/>
    <w:rsid w:val="001F67B0"/>
    <w:rsid w:val="00214929"/>
    <w:rsid w:val="00215733"/>
    <w:rsid w:val="00217D24"/>
    <w:rsid w:val="00220132"/>
    <w:rsid w:val="00223420"/>
    <w:rsid w:val="00233F0D"/>
    <w:rsid w:val="0024306F"/>
    <w:rsid w:val="00243C24"/>
    <w:rsid w:val="0025288E"/>
    <w:rsid w:val="0026201E"/>
    <w:rsid w:val="00263E47"/>
    <w:rsid w:val="00273019"/>
    <w:rsid w:val="002732D8"/>
    <w:rsid w:val="002742D7"/>
    <w:rsid w:val="002935A9"/>
    <w:rsid w:val="00297D27"/>
    <w:rsid w:val="002A16F7"/>
    <w:rsid w:val="002A1D8B"/>
    <w:rsid w:val="002A6BC4"/>
    <w:rsid w:val="002B45BB"/>
    <w:rsid w:val="002C425B"/>
    <w:rsid w:val="002C766A"/>
    <w:rsid w:val="002D4DFA"/>
    <w:rsid w:val="002E41F7"/>
    <w:rsid w:val="002F74AD"/>
    <w:rsid w:val="00305776"/>
    <w:rsid w:val="00310C9F"/>
    <w:rsid w:val="00337C70"/>
    <w:rsid w:val="0035324D"/>
    <w:rsid w:val="00355D08"/>
    <w:rsid w:val="00357E4C"/>
    <w:rsid w:val="003608FF"/>
    <w:rsid w:val="00367793"/>
    <w:rsid w:val="00373C3E"/>
    <w:rsid w:val="00382E50"/>
    <w:rsid w:val="003955EE"/>
    <w:rsid w:val="003A30D6"/>
    <w:rsid w:val="003A4091"/>
    <w:rsid w:val="003A543C"/>
    <w:rsid w:val="003B7AF5"/>
    <w:rsid w:val="003C4847"/>
    <w:rsid w:val="003C5A88"/>
    <w:rsid w:val="003D5DEE"/>
    <w:rsid w:val="003D614F"/>
    <w:rsid w:val="003E120B"/>
    <w:rsid w:val="003E2F3A"/>
    <w:rsid w:val="003F0B36"/>
    <w:rsid w:val="003F5D60"/>
    <w:rsid w:val="00427727"/>
    <w:rsid w:val="00435B3F"/>
    <w:rsid w:val="00437253"/>
    <w:rsid w:val="00442164"/>
    <w:rsid w:val="0044271B"/>
    <w:rsid w:val="00451734"/>
    <w:rsid w:val="004539D1"/>
    <w:rsid w:val="0047319B"/>
    <w:rsid w:val="0049101A"/>
    <w:rsid w:val="004953E9"/>
    <w:rsid w:val="004959F9"/>
    <w:rsid w:val="004A2EC7"/>
    <w:rsid w:val="004A7B1E"/>
    <w:rsid w:val="004B1DE0"/>
    <w:rsid w:val="004B3F1B"/>
    <w:rsid w:val="004B6C19"/>
    <w:rsid w:val="004C5CB9"/>
    <w:rsid w:val="004E3130"/>
    <w:rsid w:val="004F03CC"/>
    <w:rsid w:val="004F187C"/>
    <w:rsid w:val="005003A5"/>
    <w:rsid w:val="00502DA5"/>
    <w:rsid w:val="00511EFD"/>
    <w:rsid w:val="00514000"/>
    <w:rsid w:val="00526F53"/>
    <w:rsid w:val="00533CD2"/>
    <w:rsid w:val="00565482"/>
    <w:rsid w:val="00572204"/>
    <w:rsid w:val="005845EB"/>
    <w:rsid w:val="00584F91"/>
    <w:rsid w:val="005901C7"/>
    <w:rsid w:val="00592F8E"/>
    <w:rsid w:val="005A40A5"/>
    <w:rsid w:val="005B5E7E"/>
    <w:rsid w:val="005D2AB1"/>
    <w:rsid w:val="005D5D18"/>
    <w:rsid w:val="005E1E46"/>
    <w:rsid w:val="005E4E7A"/>
    <w:rsid w:val="005E72DF"/>
    <w:rsid w:val="005F70DD"/>
    <w:rsid w:val="00633F4D"/>
    <w:rsid w:val="00635C13"/>
    <w:rsid w:val="00643551"/>
    <w:rsid w:val="0064675F"/>
    <w:rsid w:val="00652418"/>
    <w:rsid w:val="00652FD3"/>
    <w:rsid w:val="00654EF6"/>
    <w:rsid w:val="006565A4"/>
    <w:rsid w:val="00666471"/>
    <w:rsid w:val="006722F3"/>
    <w:rsid w:val="006907C0"/>
    <w:rsid w:val="006B04A1"/>
    <w:rsid w:val="006B5CF1"/>
    <w:rsid w:val="006C32A1"/>
    <w:rsid w:val="006E463D"/>
    <w:rsid w:val="006F1711"/>
    <w:rsid w:val="0070181D"/>
    <w:rsid w:val="007054D1"/>
    <w:rsid w:val="007202B2"/>
    <w:rsid w:val="007305DF"/>
    <w:rsid w:val="007362BD"/>
    <w:rsid w:val="00737924"/>
    <w:rsid w:val="007428E7"/>
    <w:rsid w:val="007509F2"/>
    <w:rsid w:val="007569BF"/>
    <w:rsid w:val="0076756E"/>
    <w:rsid w:val="00780C90"/>
    <w:rsid w:val="00784B6D"/>
    <w:rsid w:val="007861A6"/>
    <w:rsid w:val="00791715"/>
    <w:rsid w:val="007958F8"/>
    <w:rsid w:val="007A1CD0"/>
    <w:rsid w:val="007A7093"/>
    <w:rsid w:val="007B15EB"/>
    <w:rsid w:val="007B1C3D"/>
    <w:rsid w:val="007B1C74"/>
    <w:rsid w:val="007C01D4"/>
    <w:rsid w:val="007C2027"/>
    <w:rsid w:val="007C640E"/>
    <w:rsid w:val="007C75A1"/>
    <w:rsid w:val="007D71CF"/>
    <w:rsid w:val="007E26E5"/>
    <w:rsid w:val="007F321E"/>
    <w:rsid w:val="007F4D1D"/>
    <w:rsid w:val="008006F6"/>
    <w:rsid w:val="00801BD5"/>
    <w:rsid w:val="008074D0"/>
    <w:rsid w:val="00812312"/>
    <w:rsid w:val="00817DCC"/>
    <w:rsid w:val="00823017"/>
    <w:rsid w:val="00826F42"/>
    <w:rsid w:val="00842774"/>
    <w:rsid w:val="00844DD2"/>
    <w:rsid w:val="008648E7"/>
    <w:rsid w:val="00864ED4"/>
    <w:rsid w:val="008738D5"/>
    <w:rsid w:val="0087731F"/>
    <w:rsid w:val="00887576"/>
    <w:rsid w:val="008965E1"/>
    <w:rsid w:val="008A0E1E"/>
    <w:rsid w:val="008A6831"/>
    <w:rsid w:val="008B19B4"/>
    <w:rsid w:val="008B62F5"/>
    <w:rsid w:val="008C4BA3"/>
    <w:rsid w:val="008D14B7"/>
    <w:rsid w:val="008D3B0D"/>
    <w:rsid w:val="008D7288"/>
    <w:rsid w:val="008E3DBA"/>
    <w:rsid w:val="008E4300"/>
    <w:rsid w:val="008E507F"/>
    <w:rsid w:val="008F0D27"/>
    <w:rsid w:val="008F0D52"/>
    <w:rsid w:val="008F63C9"/>
    <w:rsid w:val="00910A6E"/>
    <w:rsid w:val="009238E0"/>
    <w:rsid w:val="00925D26"/>
    <w:rsid w:val="00941333"/>
    <w:rsid w:val="00947E77"/>
    <w:rsid w:val="00953BE4"/>
    <w:rsid w:val="009616A5"/>
    <w:rsid w:val="009901B0"/>
    <w:rsid w:val="009A3E41"/>
    <w:rsid w:val="009A544C"/>
    <w:rsid w:val="009B15D9"/>
    <w:rsid w:val="009B19D1"/>
    <w:rsid w:val="009B32CF"/>
    <w:rsid w:val="009B62B6"/>
    <w:rsid w:val="009B7815"/>
    <w:rsid w:val="009C125F"/>
    <w:rsid w:val="009C2B7A"/>
    <w:rsid w:val="009D0638"/>
    <w:rsid w:val="009D27BF"/>
    <w:rsid w:val="009D2B99"/>
    <w:rsid w:val="009D349E"/>
    <w:rsid w:val="009D3830"/>
    <w:rsid w:val="009D4551"/>
    <w:rsid w:val="009D583B"/>
    <w:rsid w:val="009D765E"/>
    <w:rsid w:val="009E1535"/>
    <w:rsid w:val="009E2B24"/>
    <w:rsid w:val="009E3068"/>
    <w:rsid w:val="009F317E"/>
    <w:rsid w:val="00A016EE"/>
    <w:rsid w:val="00A02658"/>
    <w:rsid w:val="00A044AB"/>
    <w:rsid w:val="00A109CB"/>
    <w:rsid w:val="00A160A1"/>
    <w:rsid w:val="00A348AE"/>
    <w:rsid w:val="00A35264"/>
    <w:rsid w:val="00A35C21"/>
    <w:rsid w:val="00A410C4"/>
    <w:rsid w:val="00A43433"/>
    <w:rsid w:val="00A52487"/>
    <w:rsid w:val="00A52E79"/>
    <w:rsid w:val="00A6106E"/>
    <w:rsid w:val="00A75A95"/>
    <w:rsid w:val="00A972C4"/>
    <w:rsid w:val="00AA2710"/>
    <w:rsid w:val="00AB337C"/>
    <w:rsid w:val="00AB43A5"/>
    <w:rsid w:val="00AC13A5"/>
    <w:rsid w:val="00AC205C"/>
    <w:rsid w:val="00AE2053"/>
    <w:rsid w:val="00AE26E0"/>
    <w:rsid w:val="00AE30D6"/>
    <w:rsid w:val="00AE441B"/>
    <w:rsid w:val="00AF2583"/>
    <w:rsid w:val="00AF7CC3"/>
    <w:rsid w:val="00B0403E"/>
    <w:rsid w:val="00B0768A"/>
    <w:rsid w:val="00B27372"/>
    <w:rsid w:val="00B30271"/>
    <w:rsid w:val="00B30583"/>
    <w:rsid w:val="00B31656"/>
    <w:rsid w:val="00B41A57"/>
    <w:rsid w:val="00B47C61"/>
    <w:rsid w:val="00B57A46"/>
    <w:rsid w:val="00B6365A"/>
    <w:rsid w:val="00B744D0"/>
    <w:rsid w:val="00B92B1C"/>
    <w:rsid w:val="00B97B23"/>
    <w:rsid w:val="00BA63EE"/>
    <w:rsid w:val="00BB2A90"/>
    <w:rsid w:val="00BC69C9"/>
    <w:rsid w:val="00BD7806"/>
    <w:rsid w:val="00BE2723"/>
    <w:rsid w:val="00BE5021"/>
    <w:rsid w:val="00BE5413"/>
    <w:rsid w:val="00BF0C06"/>
    <w:rsid w:val="00BF442C"/>
    <w:rsid w:val="00BF720F"/>
    <w:rsid w:val="00C04F29"/>
    <w:rsid w:val="00C05868"/>
    <w:rsid w:val="00C12C65"/>
    <w:rsid w:val="00C13716"/>
    <w:rsid w:val="00C1492C"/>
    <w:rsid w:val="00C167EC"/>
    <w:rsid w:val="00C2148E"/>
    <w:rsid w:val="00C250D9"/>
    <w:rsid w:val="00C262B4"/>
    <w:rsid w:val="00C3063C"/>
    <w:rsid w:val="00C46B1D"/>
    <w:rsid w:val="00C47C33"/>
    <w:rsid w:val="00C56CF5"/>
    <w:rsid w:val="00C64381"/>
    <w:rsid w:val="00C840EF"/>
    <w:rsid w:val="00C85C1F"/>
    <w:rsid w:val="00C87076"/>
    <w:rsid w:val="00C931E3"/>
    <w:rsid w:val="00C951A3"/>
    <w:rsid w:val="00C968BB"/>
    <w:rsid w:val="00CA2C94"/>
    <w:rsid w:val="00CA7297"/>
    <w:rsid w:val="00CB1315"/>
    <w:rsid w:val="00CB1C0A"/>
    <w:rsid w:val="00CC1A54"/>
    <w:rsid w:val="00CC7C54"/>
    <w:rsid w:val="00CD0D2B"/>
    <w:rsid w:val="00CD1B80"/>
    <w:rsid w:val="00CD3977"/>
    <w:rsid w:val="00CF2E27"/>
    <w:rsid w:val="00CF429D"/>
    <w:rsid w:val="00D023BC"/>
    <w:rsid w:val="00D04CF5"/>
    <w:rsid w:val="00D13E5F"/>
    <w:rsid w:val="00D27B45"/>
    <w:rsid w:val="00D3142E"/>
    <w:rsid w:val="00D34DFB"/>
    <w:rsid w:val="00D34F53"/>
    <w:rsid w:val="00D3660E"/>
    <w:rsid w:val="00D36CD6"/>
    <w:rsid w:val="00D42901"/>
    <w:rsid w:val="00D4422C"/>
    <w:rsid w:val="00D547D7"/>
    <w:rsid w:val="00D55E42"/>
    <w:rsid w:val="00D57310"/>
    <w:rsid w:val="00D6289B"/>
    <w:rsid w:val="00D72CF5"/>
    <w:rsid w:val="00D7301A"/>
    <w:rsid w:val="00D77643"/>
    <w:rsid w:val="00D82DA0"/>
    <w:rsid w:val="00D83D02"/>
    <w:rsid w:val="00D900E0"/>
    <w:rsid w:val="00D91284"/>
    <w:rsid w:val="00D9366D"/>
    <w:rsid w:val="00DA057C"/>
    <w:rsid w:val="00DA064A"/>
    <w:rsid w:val="00DC3D1D"/>
    <w:rsid w:val="00DC4D54"/>
    <w:rsid w:val="00DE2BFB"/>
    <w:rsid w:val="00DF02CE"/>
    <w:rsid w:val="00DF50AE"/>
    <w:rsid w:val="00DF6BFC"/>
    <w:rsid w:val="00E04883"/>
    <w:rsid w:val="00E20242"/>
    <w:rsid w:val="00E3121E"/>
    <w:rsid w:val="00E314FE"/>
    <w:rsid w:val="00E318AD"/>
    <w:rsid w:val="00E334BC"/>
    <w:rsid w:val="00E34BAD"/>
    <w:rsid w:val="00E354AC"/>
    <w:rsid w:val="00E442C7"/>
    <w:rsid w:val="00E57A91"/>
    <w:rsid w:val="00E72E89"/>
    <w:rsid w:val="00E75354"/>
    <w:rsid w:val="00E8669D"/>
    <w:rsid w:val="00E954EE"/>
    <w:rsid w:val="00EA06A0"/>
    <w:rsid w:val="00EA0F57"/>
    <w:rsid w:val="00EA6DDC"/>
    <w:rsid w:val="00EB128A"/>
    <w:rsid w:val="00EB438E"/>
    <w:rsid w:val="00EB6FFC"/>
    <w:rsid w:val="00ED7230"/>
    <w:rsid w:val="00EE77F4"/>
    <w:rsid w:val="00EF33BD"/>
    <w:rsid w:val="00EF5074"/>
    <w:rsid w:val="00F05BBD"/>
    <w:rsid w:val="00F07AFA"/>
    <w:rsid w:val="00F17EA9"/>
    <w:rsid w:val="00F21D60"/>
    <w:rsid w:val="00F41A05"/>
    <w:rsid w:val="00F52287"/>
    <w:rsid w:val="00F524B1"/>
    <w:rsid w:val="00F5578B"/>
    <w:rsid w:val="00F66CA6"/>
    <w:rsid w:val="00F77150"/>
    <w:rsid w:val="00F77930"/>
    <w:rsid w:val="00F82615"/>
    <w:rsid w:val="00F8272E"/>
    <w:rsid w:val="00F91457"/>
    <w:rsid w:val="00F91884"/>
    <w:rsid w:val="00F97C57"/>
    <w:rsid w:val="00FA5193"/>
    <w:rsid w:val="00FA74C2"/>
    <w:rsid w:val="00FA755C"/>
    <w:rsid w:val="00FA7850"/>
    <w:rsid w:val="00FB3785"/>
    <w:rsid w:val="00FB708E"/>
    <w:rsid w:val="00FD4A8B"/>
    <w:rsid w:val="00FD4DDC"/>
    <w:rsid w:val="00FE1826"/>
    <w:rsid w:val="00FE7318"/>
    <w:rsid w:val="00FF24FB"/>
    <w:rsid w:val="00FF7598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7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21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14929"/>
  </w:style>
  <w:style w:type="paragraph" w:styleId="a6">
    <w:name w:val="footer"/>
    <w:basedOn w:val="a"/>
    <w:link w:val="a7"/>
    <w:uiPriority w:val="99"/>
    <w:unhideWhenUsed/>
    <w:rsid w:val="0021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14929"/>
  </w:style>
  <w:style w:type="paragraph" w:styleId="a8">
    <w:name w:val="List Paragraph"/>
    <w:basedOn w:val="a"/>
    <w:uiPriority w:val="34"/>
    <w:qFormat/>
    <w:rsid w:val="0010535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5248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052A0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EE77F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EE77F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7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21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14929"/>
  </w:style>
  <w:style w:type="paragraph" w:styleId="a6">
    <w:name w:val="footer"/>
    <w:basedOn w:val="a"/>
    <w:link w:val="a7"/>
    <w:uiPriority w:val="99"/>
    <w:unhideWhenUsed/>
    <w:rsid w:val="0021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14929"/>
  </w:style>
  <w:style w:type="paragraph" w:styleId="a8">
    <w:name w:val="List Paragraph"/>
    <w:basedOn w:val="a"/>
    <w:uiPriority w:val="34"/>
    <w:qFormat/>
    <w:rsid w:val="0010535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5248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052A0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EE77F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EE77F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49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93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1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9847-233E-4981-BD18-D451AD6B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Гюлсюм Хаджимустафа</dc:creator>
  <cp:lastModifiedBy>Zheya Gineva</cp:lastModifiedBy>
  <cp:revision>6</cp:revision>
  <cp:lastPrinted>2018-02-21T13:31:00Z</cp:lastPrinted>
  <dcterms:created xsi:type="dcterms:W3CDTF">2018-02-21T09:57:00Z</dcterms:created>
  <dcterms:modified xsi:type="dcterms:W3CDTF">2018-02-28T09:07:00Z</dcterms:modified>
</cp:coreProperties>
</file>